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5C1C4E" w14:paraId="2B529F58" w14:textId="77777777" w:rsidTr="007E1D85">
        <w:tc>
          <w:tcPr>
            <w:tcW w:w="5211" w:type="dxa"/>
            <w:hideMark/>
          </w:tcPr>
          <w:p w14:paraId="30716926" w14:textId="77777777" w:rsidR="007E1D85" w:rsidRPr="00F35213" w:rsidRDefault="007E1D85" w:rsidP="00C566D6">
            <w:pPr>
              <w:widowControl w:val="0"/>
              <w:spacing w:after="0" w:line="240" w:lineRule="auto"/>
              <w:rPr>
                <w:rFonts w:ascii="Times New Roman" w:eastAsia="Batang" w:hAnsi="Times New Roman"/>
                <w:snapToGrid w:val="0"/>
                <w:sz w:val="28"/>
                <w:szCs w:val="28"/>
                <w:lang w:val="kk-KZ" w:eastAsia="ru-RU"/>
              </w:rPr>
            </w:pPr>
          </w:p>
        </w:tc>
        <w:tc>
          <w:tcPr>
            <w:tcW w:w="4536" w:type="dxa"/>
            <w:hideMark/>
          </w:tcPr>
          <w:p w14:paraId="09DBB272" w14:textId="77777777" w:rsidR="00523D82" w:rsidRPr="00746FF2" w:rsidRDefault="00523D82" w:rsidP="00C566D6">
            <w:pPr>
              <w:widowControl w:val="0"/>
              <w:spacing w:after="0" w:line="240" w:lineRule="auto"/>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УТВЕРЖДЕНА</w:t>
            </w:r>
          </w:p>
          <w:p w14:paraId="4C597882" w14:textId="77777777" w:rsidR="00653617" w:rsidRPr="00746FF2" w:rsidRDefault="00523D82" w:rsidP="00575348">
            <w:pPr>
              <w:autoSpaceDE w:val="0"/>
              <w:autoSpaceDN w:val="0"/>
              <w:spacing w:after="0" w:line="240" w:lineRule="auto"/>
              <w:rPr>
                <w:rFonts w:ascii="Times New Roman" w:eastAsia="Times New Roman" w:hAnsi="Times New Roman"/>
                <w:sz w:val="28"/>
                <w:szCs w:val="28"/>
                <w:lang w:eastAsia="ru-RU"/>
              </w:rPr>
            </w:pPr>
            <w:r w:rsidRPr="00746FF2">
              <w:rPr>
                <w:rFonts w:ascii="Times New Roman" w:eastAsia="Times New Roman" w:hAnsi="Times New Roman"/>
                <w:sz w:val="28"/>
                <w:szCs w:val="28"/>
                <w:lang w:eastAsia="ru-RU"/>
              </w:rPr>
              <w:t xml:space="preserve">Приказом </w:t>
            </w:r>
            <w:r w:rsidR="004C462F">
              <w:rPr>
                <w:rFonts w:ascii="Times New Roman" w:eastAsia="Times New Roman" w:hAnsi="Times New Roman"/>
                <w:sz w:val="28"/>
                <w:szCs w:val="28"/>
                <w:lang w:eastAsia="ru-RU"/>
              </w:rPr>
              <w:t>П</w:t>
            </w:r>
            <w:r w:rsidRPr="00746FF2">
              <w:rPr>
                <w:rFonts w:ascii="Times New Roman" w:eastAsia="Times New Roman" w:hAnsi="Times New Roman"/>
                <w:sz w:val="28"/>
                <w:szCs w:val="28"/>
                <w:lang w:eastAsia="ru-RU"/>
              </w:rPr>
              <w:t xml:space="preserve">редседателя </w:t>
            </w:r>
          </w:p>
          <w:p w14:paraId="1F70FCCE" w14:textId="77777777" w:rsidR="00523D82" w:rsidRPr="00746FF2" w:rsidRDefault="007E702A" w:rsidP="00B608C1">
            <w:p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РГУ «</w:t>
            </w:r>
            <w:r w:rsidR="00523D82" w:rsidRPr="00746FF2">
              <w:rPr>
                <w:rFonts w:ascii="Times New Roman" w:eastAsia="Times New Roman" w:hAnsi="Times New Roman"/>
                <w:sz w:val="28"/>
                <w:szCs w:val="28"/>
                <w:lang w:eastAsia="ru-RU"/>
              </w:rPr>
              <w:t xml:space="preserve">Комитет </w:t>
            </w:r>
            <w:r w:rsidR="00F7374A">
              <w:rPr>
                <w:rFonts w:ascii="Times New Roman" w:eastAsia="Times New Roman" w:hAnsi="Times New Roman"/>
                <w:sz w:val="28"/>
                <w:szCs w:val="28"/>
                <w:lang w:eastAsia="ru-RU"/>
              </w:rPr>
              <w:t>медицинского и фармацевтического контроля</w:t>
            </w:r>
            <w:r>
              <w:rPr>
                <w:rFonts w:ascii="Times New Roman" w:eastAsia="Times New Roman" w:hAnsi="Times New Roman"/>
                <w:sz w:val="28"/>
                <w:szCs w:val="28"/>
                <w:lang w:eastAsia="ru-RU"/>
              </w:rPr>
              <w:t>»</w:t>
            </w:r>
          </w:p>
          <w:p w14:paraId="4C9F1BB0" w14:textId="77777777" w:rsidR="00523D82" w:rsidRPr="00746FF2"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746FF2">
              <w:rPr>
                <w:rFonts w:ascii="Times New Roman" w:eastAsia="Times New Roman" w:hAnsi="Times New Roman"/>
                <w:bCs/>
                <w:sz w:val="28"/>
                <w:szCs w:val="28"/>
                <w:lang w:eastAsia="ru-RU"/>
              </w:rPr>
              <w:t>Министерства здравоохранения</w:t>
            </w:r>
            <w:r w:rsidRPr="00746FF2">
              <w:rPr>
                <w:rFonts w:ascii="Times New Roman" w:eastAsia="Times New Roman" w:hAnsi="Times New Roman"/>
                <w:bCs/>
                <w:sz w:val="28"/>
                <w:szCs w:val="28"/>
                <w:lang w:val="uk-UA" w:eastAsia="ru-RU"/>
              </w:rPr>
              <w:t xml:space="preserve"> </w:t>
            </w:r>
          </w:p>
          <w:p w14:paraId="0EF61944" w14:textId="77777777" w:rsidR="00523D82" w:rsidRPr="00746FF2"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746FF2">
              <w:rPr>
                <w:rFonts w:ascii="Times New Roman" w:eastAsia="Times New Roman" w:hAnsi="Times New Roman"/>
                <w:bCs/>
                <w:sz w:val="28"/>
                <w:szCs w:val="28"/>
                <w:lang w:eastAsia="ru-RU"/>
              </w:rPr>
              <w:t>Республики Казахстан</w:t>
            </w:r>
          </w:p>
          <w:p w14:paraId="1233EF84" w14:textId="697A2D79" w:rsidR="00523D82" w:rsidRPr="00746FF2" w:rsidRDefault="00523D82" w:rsidP="00C566D6">
            <w:pPr>
              <w:autoSpaceDE w:val="0"/>
              <w:autoSpaceDN w:val="0"/>
              <w:spacing w:after="0" w:line="240" w:lineRule="auto"/>
              <w:rPr>
                <w:rFonts w:ascii="Times New Roman" w:eastAsia="Times New Roman" w:hAnsi="Times New Roman"/>
                <w:sz w:val="28"/>
                <w:szCs w:val="28"/>
                <w:lang w:eastAsia="ru-RU"/>
              </w:rPr>
            </w:pPr>
            <w:r w:rsidRPr="00746FF2">
              <w:rPr>
                <w:rFonts w:ascii="Times New Roman" w:eastAsia="Times New Roman" w:hAnsi="Times New Roman"/>
                <w:sz w:val="28"/>
                <w:szCs w:val="28"/>
                <w:lang w:eastAsia="ru-RU"/>
              </w:rPr>
              <w:t>от «</w:t>
            </w:r>
            <w:r w:rsidR="00332536" w:rsidRPr="008C51F5">
              <w:rPr>
                <w:rFonts w:ascii="Times New Roman" w:eastAsia="Times New Roman" w:hAnsi="Times New Roman"/>
                <w:sz w:val="28"/>
                <w:szCs w:val="28"/>
                <w:lang w:eastAsia="ru-RU"/>
              </w:rPr>
              <w:t>02</w:t>
            </w:r>
            <w:r w:rsidRPr="00746FF2">
              <w:rPr>
                <w:rFonts w:ascii="Times New Roman" w:eastAsia="Times New Roman" w:hAnsi="Times New Roman"/>
                <w:sz w:val="28"/>
                <w:szCs w:val="28"/>
                <w:lang w:eastAsia="ru-RU"/>
              </w:rPr>
              <w:t>»</w:t>
            </w:r>
            <w:r w:rsidR="00332536" w:rsidRPr="008C51F5">
              <w:rPr>
                <w:rFonts w:ascii="Times New Roman" w:eastAsia="Times New Roman" w:hAnsi="Times New Roman"/>
                <w:sz w:val="28"/>
                <w:szCs w:val="28"/>
                <w:lang w:eastAsia="ru-RU"/>
              </w:rPr>
              <w:t xml:space="preserve">   03    </w:t>
            </w:r>
            <w:r w:rsidRPr="00746FF2">
              <w:rPr>
                <w:rFonts w:ascii="Times New Roman" w:eastAsia="Times New Roman" w:hAnsi="Times New Roman"/>
                <w:sz w:val="28"/>
                <w:szCs w:val="28"/>
                <w:lang w:eastAsia="ru-RU"/>
              </w:rPr>
              <w:t>20</w:t>
            </w:r>
            <w:r w:rsidR="00332536" w:rsidRPr="008C51F5">
              <w:rPr>
                <w:rFonts w:ascii="Times New Roman" w:eastAsia="Times New Roman" w:hAnsi="Times New Roman"/>
                <w:sz w:val="28"/>
                <w:szCs w:val="28"/>
                <w:lang w:eastAsia="ru-RU"/>
              </w:rPr>
              <w:t xml:space="preserve">22 </w:t>
            </w:r>
            <w:r w:rsidRPr="00746FF2">
              <w:rPr>
                <w:rFonts w:ascii="Times New Roman" w:eastAsia="Times New Roman" w:hAnsi="Times New Roman"/>
                <w:sz w:val="28"/>
                <w:szCs w:val="28"/>
                <w:lang w:eastAsia="ru-RU"/>
              </w:rPr>
              <w:t>г.</w:t>
            </w:r>
          </w:p>
          <w:p w14:paraId="5DEE5B09" w14:textId="0B79BC22" w:rsidR="00523D82" w:rsidRDefault="00523D82" w:rsidP="00652BCE">
            <w:pPr>
              <w:widowControl w:val="0"/>
              <w:spacing w:after="0" w:line="240" w:lineRule="auto"/>
              <w:rPr>
                <w:rFonts w:ascii="Times New Roman" w:eastAsia="Times New Roman" w:hAnsi="Times New Roman"/>
                <w:snapToGrid w:val="0"/>
                <w:sz w:val="28"/>
                <w:szCs w:val="28"/>
                <w:lang w:eastAsia="ru-RU"/>
              </w:rPr>
            </w:pPr>
            <w:r w:rsidRPr="00746FF2">
              <w:rPr>
                <w:rFonts w:ascii="Times New Roman" w:eastAsia="Times New Roman" w:hAnsi="Times New Roman"/>
                <w:snapToGrid w:val="0"/>
                <w:sz w:val="28"/>
                <w:szCs w:val="28"/>
                <w:lang w:eastAsia="ru-RU"/>
              </w:rPr>
              <w:t xml:space="preserve">№ </w:t>
            </w:r>
            <w:r w:rsidR="00332536">
              <w:rPr>
                <w:rFonts w:ascii="Times New Roman" w:eastAsia="Times New Roman" w:hAnsi="Times New Roman"/>
                <w:snapToGrid w:val="0"/>
                <w:sz w:val="28"/>
                <w:szCs w:val="28"/>
                <w:lang w:val="en-US" w:eastAsia="ru-RU"/>
              </w:rPr>
              <w:t>N</w:t>
            </w:r>
            <w:r w:rsidR="00332536" w:rsidRPr="008C51F5">
              <w:rPr>
                <w:rFonts w:ascii="Times New Roman" w:eastAsia="Times New Roman" w:hAnsi="Times New Roman"/>
                <w:snapToGrid w:val="0"/>
                <w:sz w:val="28"/>
                <w:szCs w:val="28"/>
                <w:lang w:eastAsia="ru-RU"/>
              </w:rPr>
              <w:t>049110</w:t>
            </w:r>
            <w:r w:rsidR="008C51F5" w:rsidRPr="008C51F5">
              <w:rPr>
                <w:rFonts w:ascii="Times New Roman" w:eastAsia="Times New Roman" w:hAnsi="Times New Roman"/>
                <w:snapToGrid w:val="0"/>
                <w:sz w:val="28"/>
                <w:szCs w:val="28"/>
                <w:lang w:eastAsia="ru-RU"/>
              </w:rPr>
              <w:t xml:space="preserve"> (</w:t>
            </w:r>
            <w:r w:rsidR="008C51F5">
              <w:rPr>
                <w:rFonts w:ascii="Times New Roman" w:eastAsia="Times New Roman" w:hAnsi="Times New Roman"/>
                <w:snapToGrid w:val="0"/>
                <w:sz w:val="28"/>
                <w:szCs w:val="28"/>
                <w:lang w:eastAsia="ru-RU"/>
              </w:rPr>
              <w:t>для Альфадол          0.25 мкг)</w:t>
            </w:r>
          </w:p>
          <w:p w14:paraId="6D785C10" w14:textId="69A2E261" w:rsidR="008C51F5" w:rsidRPr="008C51F5" w:rsidRDefault="008C51F5" w:rsidP="00652BCE">
            <w:pPr>
              <w:widowControl w:val="0"/>
              <w:spacing w:after="0" w:line="240" w:lineRule="auto"/>
              <w:rPr>
                <w:rFonts w:ascii="Times New Roman" w:eastAsia="Batang" w:hAnsi="Times New Roman"/>
                <w:snapToGrid w:val="0"/>
                <w:sz w:val="28"/>
                <w:szCs w:val="28"/>
                <w:lang w:eastAsia="ru-RU"/>
              </w:rPr>
            </w:pPr>
            <w:r>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val="en-US" w:eastAsia="ru-RU"/>
              </w:rPr>
              <w:t>N</w:t>
            </w:r>
            <w:r w:rsidRPr="008C51F5">
              <w:rPr>
                <w:rFonts w:ascii="Times New Roman" w:eastAsia="Times New Roman" w:hAnsi="Times New Roman"/>
                <w:snapToGrid w:val="0"/>
                <w:sz w:val="28"/>
                <w:szCs w:val="28"/>
                <w:lang w:eastAsia="ru-RU"/>
              </w:rPr>
              <w:t>0491</w:t>
            </w:r>
            <w:r>
              <w:rPr>
                <w:rFonts w:ascii="Times New Roman" w:eastAsia="Times New Roman" w:hAnsi="Times New Roman"/>
                <w:snapToGrid w:val="0"/>
                <w:sz w:val="28"/>
                <w:szCs w:val="28"/>
                <w:lang w:eastAsia="ru-RU"/>
              </w:rPr>
              <w:t>07</w:t>
            </w:r>
            <w:r w:rsidRPr="008C51F5">
              <w:rPr>
                <w:rFonts w:ascii="Times New Roman" w:eastAsia="Times New Roman" w:hAnsi="Times New Roman"/>
                <w:snapToGrid w:val="0"/>
                <w:sz w:val="28"/>
                <w:szCs w:val="28"/>
                <w:lang w:eastAsia="ru-RU"/>
              </w:rPr>
              <w:t xml:space="preserve"> (</w:t>
            </w:r>
            <w:r>
              <w:rPr>
                <w:rFonts w:ascii="Times New Roman" w:eastAsia="Times New Roman" w:hAnsi="Times New Roman"/>
                <w:snapToGrid w:val="0"/>
                <w:sz w:val="28"/>
                <w:szCs w:val="28"/>
                <w:lang w:eastAsia="ru-RU"/>
              </w:rPr>
              <w:t>для Альфадол 1 мкг)</w:t>
            </w:r>
          </w:p>
        </w:tc>
        <w:tc>
          <w:tcPr>
            <w:tcW w:w="4536" w:type="dxa"/>
          </w:tcPr>
          <w:p w14:paraId="3D70CC19" w14:textId="77777777" w:rsidR="00523D82" w:rsidRPr="00746FF2"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746FF2">
              <w:rPr>
                <w:rFonts w:ascii="Times New Roman" w:eastAsia="Times New Roman" w:hAnsi="Times New Roman"/>
                <w:b/>
                <w:snapToGrid w:val="0"/>
                <w:sz w:val="28"/>
                <w:szCs w:val="28"/>
                <w:lang w:eastAsia="ru-RU"/>
              </w:rPr>
              <w:t xml:space="preserve"> </w:t>
            </w:r>
          </w:p>
        </w:tc>
      </w:tr>
    </w:tbl>
    <w:p w14:paraId="1BB7B8A8" w14:textId="77777777" w:rsidR="003662F1" w:rsidRDefault="003662F1" w:rsidP="00C566D6">
      <w:pPr>
        <w:autoSpaceDE w:val="0"/>
        <w:autoSpaceDN w:val="0"/>
        <w:spacing w:after="0" w:line="240" w:lineRule="auto"/>
        <w:jc w:val="center"/>
        <w:rPr>
          <w:rFonts w:ascii="Times New Roman" w:eastAsia="Times New Roman" w:hAnsi="Times New Roman"/>
          <w:b/>
          <w:sz w:val="28"/>
          <w:szCs w:val="28"/>
          <w:lang w:eastAsia="ru-RU"/>
        </w:rPr>
      </w:pPr>
    </w:p>
    <w:p w14:paraId="7233B5A8" w14:textId="77777777" w:rsidR="00D76048" w:rsidRPr="00844CE8"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Инструкция по медицинскому применению</w:t>
      </w:r>
    </w:p>
    <w:p w14:paraId="44CCE9D0" w14:textId="77777777" w:rsidR="00D76048" w:rsidRPr="00844CE8"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лекарственного </w:t>
      </w:r>
      <w:r w:rsidR="007D0E84" w:rsidRPr="00844CE8">
        <w:rPr>
          <w:rFonts w:ascii="Times New Roman" w:eastAsia="Times New Roman" w:hAnsi="Times New Roman"/>
          <w:b/>
          <w:sz w:val="28"/>
          <w:szCs w:val="28"/>
          <w:lang w:eastAsia="ru-RU"/>
        </w:rPr>
        <w:t>препарата</w:t>
      </w:r>
      <w:r w:rsidR="00AE7922" w:rsidRPr="00844CE8">
        <w:rPr>
          <w:rFonts w:ascii="Times New Roman" w:eastAsia="Times New Roman" w:hAnsi="Times New Roman"/>
          <w:b/>
          <w:sz w:val="28"/>
          <w:szCs w:val="28"/>
          <w:lang w:eastAsia="ru-RU"/>
        </w:rPr>
        <w:t xml:space="preserve"> (</w:t>
      </w:r>
      <w:r w:rsidR="002C1660" w:rsidRPr="00844CE8">
        <w:rPr>
          <w:rFonts w:ascii="Times New Roman" w:eastAsia="Times New Roman" w:hAnsi="Times New Roman"/>
          <w:b/>
          <w:sz w:val="28"/>
          <w:szCs w:val="28"/>
          <w:lang w:eastAsia="ru-RU"/>
        </w:rPr>
        <w:t>Л</w:t>
      </w:r>
      <w:r w:rsidR="00AE7922" w:rsidRPr="00844CE8">
        <w:rPr>
          <w:rFonts w:ascii="Times New Roman" w:eastAsia="Times New Roman" w:hAnsi="Times New Roman"/>
          <w:b/>
          <w:sz w:val="28"/>
          <w:szCs w:val="28"/>
          <w:lang w:eastAsia="ru-RU"/>
        </w:rPr>
        <w:t>исток-вкладыш)</w:t>
      </w:r>
    </w:p>
    <w:p w14:paraId="0432AD1A" w14:textId="77777777" w:rsidR="002C76D7" w:rsidRPr="00844CE8"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27277E70" w14:textId="77777777" w:rsidR="002C76D7" w:rsidRPr="00844CE8"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Торговое </w:t>
      </w:r>
      <w:r w:rsidR="00E55D6C" w:rsidRPr="00844CE8">
        <w:rPr>
          <w:rFonts w:ascii="Times New Roman" w:eastAsia="Times New Roman" w:hAnsi="Times New Roman"/>
          <w:b/>
          <w:sz w:val="28"/>
          <w:szCs w:val="28"/>
          <w:lang w:eastAsia="ru-RU"/>
        </w:rPr>
        <w:t>наименование</w:t>
      </w:r>
      <w:r w:rsidR="00AE7922" w:rsidRPr="00844CE8">
        <w:rPr>
          <w:rFonts w:ascii="Times New Roman" w:eastAsia="Times New Roman" w:hAnsi="Times New Roman"/>
          <w:b/>
          <w:sz w:val="28"/>
          <w:szCs w:val="28"/>
          <w:lang w:eastAsia="ru-RU"/>
        </w:rPr>
        <w:t xml:space="preserve"> </w:t>
      </w:r>
    </w:p>
    <w:p w14:paraId="312A46CF" w14:textId="77777777" w:rsidR="002C76D7" w:rsidRDefault="00AF2AB7" w:rsidP="00844CE8">
      <w:pPr>
        <w:autoSpaceDE w:val="0"/>
        <w:autoSpaceDN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Альфадол</w:t>
      </w:r>
    </w:p>
    <w:p w14:paraId="3DEB4EE9" w14:textId="77777777" w:rsidR="00673B03" w:rsidRPr="00673B03" w:rsidRDefault="00673B03" w:rsidP="00844CE8">
      <w:pPr>
        <w:autoSpaceDE w:val="0"/>
        <w:autoSpaceDN w:val="0"/>
        <w:spacing w:after="0" w:line="240" w:lineRule="auto"/>
        <w:jc w:val="both"/>
        <w:rPr>
          <w:rFonts w:ascii="Times New Roman" w:eastAsia="Times New Roman" w:hAnsi="Times New Roman"/>
          <w:bCs/>
          <w:sz w:val="28"/>
          <w:szCs w:val="28"/>
          <w:lang w:eastAsia="ru-RU"/>
        </w:rPr>
      </w:pPr>
    </w:p>
    <w:p w14:paraId="073F2713" w14:textId="77777777" w:rsidR="002C76D7" w:rsidRPr="00844CE8"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844CE8">
        <w:rPr>
          <w:rFonts w:ascii="Times New Roman" w:eastAsia="Times New Roman" w:hAnsi="Times New Roman"/>
          <w:b/>
          <w:sz w:val="28"/>
          <w:szCs w:val="28"/>
          <w:lang w:eastAsia="ru-RU"/>
        </w:rPr>
        <w:t>Международное непатентованное название</w:t>
      </w:r>
    </w:p>
    <w:p w14:paraId="1CCAC2FF" w14:textId="77777777" w:rsidR="002C76D7" w:rsidRDefault="00AF2AB7" w:rsidP="00844CE8">
      <w:pPr>
        <w:autoSpaceDE w:val="0"/>
        <w:autoSpaceDN w:val="0"/>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Альфакальцидол</w:t>
      </w:r>
    </w:p>
    <w:p w14:paraId="29A761DE" w14:textId="77777777" w:rsidR="00673B03" w:rsidRPr="00673B03" w:rsidRDefault="00673B03" w:rsidP="00844CE8">
      <w:pPr>
        <w:autoSpaceDE w:val="0"/>
        <w:autoSpaceDN w:val="0"/>
        <w:spacing w:after="0" w:line="240" w:lineRule="auto"/>
        <w:jc w:val="both"/>
        <w:rPr>
          <w:rFonts w:ascii="Times New Roman" w:eastAsia="Times New Roman" w:hAnsi="Times New Roman"/>
          <w:bCs/>
          <w:sz w:val="28"/>
          <w:szCs w:val="28"/>
          <w:lang w:eastAsia="ru-RU"/>
        </w:rPr>
      </w:pPr>
    </w:p>
    <w:p w14:paraId="15624217" w14:textId="77777777" w:rsidR="00D76048" w:rsidRPr="00844CE8"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 xml:space="preserve">Лекарственная форма, </w:t>
      </w:r>
      <w:r w:rsidR="00AE7922" w:rsidRPr="00844CE8">
        <w:rPr>
          <w:rFonts w:ascii="Times New Roman" w:eastAsia="Times New Roman" w:hAnsi="Times New Roman"/>
          <w:b/>
          <w:sz w:val="28"/>
          <w:szCs w:val="28"/>
          <w:lang w:eastAsia="ru-RU"/>
        </w:rPr>
        <w:t xml:space="preserve">дозировка  </w:t>
      </w:r>
    </w:p>
    <w:p w14:paraId="758E27EC" w14:textId="77777777" w:rsidR="00B01011" w:rsidRDefault="00AF2AB7" w:rsidP="00844CE8">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Капсулы</w:t>
      </w:r>
      <w:r w:rsidR="00673B03" w:rsidRPr="00673B0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0.25</w:t>
      </w:r>
      <w:r w:rsidR="00673B03" w:rsidRPr="00673B03">
        <w:rPr>
          <w:rFonts w:ascii="Times New Roman" w:eastAsia="Times New Roman" w:hAnsi="Times New Roman"/>
          <w:sz w:val="28"/>
          <w:szCs w:val="28"/>
          <w:lang w:eastAsia="ru-RU"/>
        </w:rPr>
        <w:t xml:space="preserve"> м</w:t>
      </w:r>
      <w:r>
        <w:rPr>
          <w:rFonts w:ascii="Times New Roman" w:eastAsia="Times New Roman" w:hAnsi="Times New Roman"/>
          <w:sz w:val="28"/>
          <w:szCs w:val="28"/>
          <w:lang w:eastAsia="ru-RU"/>
        </w:rPr>
        <w:t>к</w:t>
      </w:r>
      <w:r w:rsidR="00673B03" w:rsidRPr="00673B03">
        <w:rPr>
          <w:rFonts w:ascii="Times New Roman" w:eastAsia="Times New Roman" w:hAnsi="Times New Roman"/>
          <w:sz w:val="28"/>
          <w:szCs w:val="28"/>
          <w:lang w:eastAsia="ru-RU"/>
        </w:rPr>
        <w:t>г</w:t>
      </w:r>
      <w:r>
        <w:rPr>
          <w:rFonts w:ascii="Times New Roman" w:eastAsia="Times New Roman" w:hAnsi="Times New Roman"/>
          <w:sz w:val="28"/>
          <w:szCs w:val="28"/>
          <w:lang w:eastAsia="ru-RU"/>
        </w:rPr>
        <w:t>, 1.0 мкг</w:t>
      </w:r>
    </w:p>
    <w:p w14:paraId="699E7215" w14:textId="77777777" w:rsidR="00673B03" w:rsidRPr="00844CE8" w:rsidRDefault="00673B03" w:rsidP="00844CE8">
      <w:pPr>
        <w:autoSpaceDE w:val="0"/>
        <w:autoSpaceDN w:val="0"/>
        <w:spacing w:after="0" w:line="240" w:lineRule="auto"/>
        <w:jc w:val="both"/>
        <w:rPr>
          <w:rFonts w:ascii="Times New Roman" w:eastAsia="Times New Roman" w:hAnsi="Times New Roman"/>
          <w:sz w:val="28"/>
          <w:szCs w:val="28"/>
          <w:lang w:eastAsia="ru-RU"/>
        </w:rPr>
      </w:pPr>
    </w:p>
    <w:p w14:paraId="7E8B7873" w14:textId="77777777" w:rsidR="002C1660" w:rsidRPr="00844CE8"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844CE8">
        <w:rPr>
          <w:rFonts w:ascii="Times New Roman" w:eastAsia="Times New Roman" w:hAnsi="Times New Roman"/>
          <w:b/>
          <w:bCs/>
          <w:snapToGrid w:val="0"/>
          <w:sz w:val="28"/>
          <w:szCs w:val="28"/>
          <w:lang w:eastAsia="ru-RU"/>
        </w:rPr>
        <w:t>Фармакотерапевтическая</w:t>
      </w:r>
      <w:bookmarkEnd w:id="0"/>
      <w:r w:rsidRPr="00844CE8">
        <w:rPr>
          <w:rFonts w:ascii="Times New Roman" w:eastAsia="Times New Roman" w:hAnsi="Times New Roman"/>
          <w:b/>
          <w:bCs/>
          <w:snapToGrid w:val="0"/>
          <w:sz w:val="28"/>
          <w:szCs w:val="28"/>
          <w:lang w:eastAsia="ru-RU"/>
        </w:rPr>
        <w:t xml:space="preserve"> группа</w:t>
      </w:r>
      <w:r w:rsidR="002C1660" w:rsidRPr="00844CE8">
        <w:rPr>
          <w:rFonts w:ascii="Times New Roman" w:eastAsia="Times New Roman" w:hAnsi="Times New Roman"/>
          <w:b/>
          <w:bCs/>
          <w:snapToGrid w:val="0"/>
          <w:sz w:val="28"/>
          <w:szCs w:val="28"/>
          <w:lang w:eastAsia="ru-RU"/>
        </w:rPr>
        <w:t xml:space="preserve"> </w:t>
      </w:r>
    </w:p>
    <w:p w14:paraId="4798D866" w14:textId="77777777" w:rsidR="00AF2AB7" w:rsidRPr="00AF2AB7" w:rsidRDefault="00AF2AB7" w:rsidP="00AF2AB7">
      <w:pPr>
        <w:keepNext/>
        <w:widowControl w:val="0"/>
        <w:autoSpaceDE w:val="0"/>
        <w:autoSpaceDN w:val="0"/>
        <w:spacing w:after="0" w:line="240" w:lineRule="auto"/>
        <w:jc w:val="both"/>
        <w:outlineLvl w:val="0"/>
        <w:rPr>
          <w:rFonts w:ascii="Times New Roman" w:hAnsi="Times New Roman"/>
          <w:color w:val="000000"/>
          <w:sz w:val="28"/>
          <w:szCs w:val="28"/>
        </w:rPr>
      </w:pPr>
      <w:r w:rsidRPr="00AF2AB7">
        <w:rPr>
          <w:rFonts w:ascii="Times New Roman" w:hAnsi="Times New Roman"/>
          <w:color w:val="000000"/>
          <w:sz w:val="28"/>
          <w:szCs w:val="28"/>
        </w:rPr>
        <w:t>Пищеварительный тракт и обмен веществ.</w:t>
      </w:r>
      <w:r>
        <w:rPr>
          <w:rFonts w:ascii="Times New Roman" w:hAnsi="Times New Roman"/>
          <w:color w:val="000000"/>
          <w:sz w:val="28"/>
          <w:szCs w:val="28"/>
        </w:rPr>
        <w:t xml:space="preserve"> </w:t>
      </w:r>
      <w:r w:rsidRPr="00AF2AB7">
        <w:rPr>
          <w:rFonts w:ascii="Times New Roman" w:hAnsi="Times New Roman"/>
          <w:color w:val="000000"/>
          <w:sz w:val="28"/>
          <w:szCs w:val="28"/>
        </w:rPr>
        <w:t>Витамины. Витамин A и Д и их комбинация. Витамин Д и его производные. Альфакальцидол.</w:t>
      </w:r>
    </w:p>
    <w:p w14:paraId="4DB2AE60" w14:textId="77777777" w:rsidR="00AF2AB7" w:rsidRDefault="00AF2AB7" w:rsidP="00AF2AB7">
      <w:pPr>
        <w:keepNext/>
        <w:widowControl w:val="0"/>
        <w:autoSpaceDE w:val="0"/>
        <w:autoSpaceDN w:val="0"/>
        <w:spacing w:after="0" w:line="240" w:lineRule="auto"/>
        <w:jc w:val="both"/>
        <w:outlineLvl w:val="0"/>
        <w:rPr>
          <w:rFonts w:ascii="Times New Roman" w:hAnsi="Times New Roman"/>
          <w:color w:val="000000"/>
          <w:sz w:val="28"/>
          <w:szCs w:val="28"/>
        </w:rPr>
      </w:pPr>
      <w:r w:rsidRPr="00AF2AB7">
        <w:rPr>
          <w:rFonts w:ascii="Times New Roman" w:hAnsi="Times New Roman"/>
          <w:color w:val="000000"/>
          <w:sz w:val="28"/>
          <w:szCs w:val="28"/>
        </w:rPr>
        <w:t>Код ATХ А11СС03</w:t>
      </w:r>
    </w:p>
    <w:p w14:paraId="5AD8733D" w14:textId="77777777" w:rsidR="00AF2AB7" w:rsidRDefault="00AF2AB7" w:rsidP="00AF2AB7">
      <w:pPr>
        <w:keepNext/>
        <w:widowControl w:val="0"/>
        <w:autoSpaceDE w:val="0"/>
        <w:autoSpaceDN w:val="0"/>
        <w:spacing w:after="0" w:line="240" w:lineRule="auto"/>
        <w:jc w:val="both"/>
        <w:outlineLvl w:val="0"/>
        <w:rPr>
          <w:rFonts w:ascii="Times New Roman" w:hAnsi="Times New Roman"/>
          <w:color w:val="000000"/>
          <w:sz w:val="28"/>
          <w:szCs w:val="28"/>
        </w:rPr>
      </w:pPr>
    </w:p>
    <w:p w14:paraId="3CC9C73F" w14:textId="77777777" w:rsidR="002C76D7" w:rsidRPr="00844CE8" w:rsidRDefault="005444B2" w:rsidP="00AF2AB7">
      <w:pPr>
        <w:keepNext/>
        <w:widowControl w:val="0"/>
        <w:autoSpaceDE w:val="0"/>
        <w:autoSpaceDN w:val="0"/>
        <w:spacing w:after="0" w:line="240" w:lineRule="auto"/>
        <w:jc w:val="both"/>
        <w:outlineLvl w:val="0"/>
        <w:rPr>
          <w:rFonts w:ascii="Times New Roman" w:hAnsi="Times New Roman"/>
          <w:color w:val="000000"/>
          <w:sz w:val="32"/>
          <w:szCs w:val="32"/>
          <w:highlight w:val="cyan"/>
        </w:rPr>
      </w:pPr>
      <w:r w:rsidRPr="00844CE8">
        <w:rPr>
          <w:rFonts w:ascii="Times New Roman" w:eastAsia="Times New Roman" w:hAnsi="Times New Roman"/>
          <w:b/>
          <w:bCs/>
          <w:sz w:val="28"/>
          <w:szCs w:val="28"/>
          <w:lang w:eastAsia="ru-RU"/>
        </w:rPr>
        <w:t>Показания к применению</w:t>
      </w:r>
      <w:r w:rsidR="002C76D7" w:rsidRPr="00844CE8">
        <w:rPr>
          <w:rFonts w:ascii="Times New Roman" w:hAnsi="Times New Roman"/>
          <w:color w:val="000000"/>
          <w:sz w:val="32"/>
          <w:szCs w:val="32"/>
          <w:highlight w:val="cyan"/>
        </w:rPr>
        <w:t xml:space="preserve"> </w:t>
      </w:r>
    </w:p>
    <w:p w14:paraId="23ED9ECB"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Альфадол используется для лечения состояний, при которых метаболизм кальция нарушается из-за нарушения 1α-гидроксилирования, например, при снижение функции почек; остеопороз, связанный с резистентностью к витамину D и мальабсорбцией кальция.</w:t>
      </w:r>
    </w:p>
    <w:p w14:paraId="6DF1A297"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Основными показаниями являются:</w:t>
      </w:r>
    </w:p>
    <w:p w14:paraId="69F77AAE"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 основные типы и формы остеопороза (в т.ч. постменопаузальный, сенильный, стероидный)</w:t>
      </w:r>
    </w:p>
    <w:p w14:paraId="562A60EB"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 остеодистрофия при хронической почечной недостаточности</w:t>
      </w:r>
    </w:p>
    <w:p w14:paraId="32D4ECF1"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 гипопаратиреоз</w:t>
      </w:r>
    </w:p>
    <w:p w14:paraId="2D929DA9"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 гиперпаратиреоз (с поражением костей)</w:t>
      </w:r>
    </w:p>
    <w:p w14:paraId="6CB73A81"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 xml:space="preserve">- рахит и остеомаляции, связанные с недостаточностью поступления витамина Д с пищей или нарушениями его всасывания в ЖКТ </w:t>
      </w:r>
    </w:p>
    <w:p w14:paraId="4C4C4619" w14:textId="77777777" w:rsidR="00AF2AB7" w:rsidRPr="00AF2AB7" w:rsidRDefault="00AF2AB7" w:rsidP="00AF2AB7">
      <w:pPr>
        <w:spacing w:after="0" w:line="240" w:lineRule="auto"/>
        <w:jc w:val="both"/>
        <w:rPr>
          <w:rFonts w:ascii="Times New Roman" w:hAnsi="Times New Roman"/>
          <w:color w:val="000000"/>
          <w:sz w:val="28"/>
          <w:szCs w:val="28"/>
          <w:lang w:val="kk-KZ"/>
        </w:rPr>
      </w:pPr>
      <w:r w:rsidRPr="00AF2AB7">
        <w:rPr>
          <w:rFonts w:ascii="Times New Roman" w:hAnsi="Times New Roman"/>
          <w:color w:val="000000"/>
          <w:sz w:val="28"/>
          <w:szCs w:val="28"/>
          <w:lang w:val="kk-KZ"/>
        </w:rPr>
        <w:t>- гипофосфатемический витамин-Д-резистентный рахит и остеомаляция</w:t>
      </w:r>
    </w:p>
    <w:p w14:paraId="252A01D4" w14:textId="77777777" w:rsidR="00673B03" w:rsidRPr="00844CE8" w:rsidRDefault="00AF2AB7" w:rsidP="00AF2AB7">
      <w:pPr>
        <w:spacing w:after="0" w:line="240" w:lineRule="auto"/>
        <w:jc w:val="both"/>
        <w:rPr>
          <w:rFonts w:ascii="Times New Roman" w:eastAsia="Times New Roman" w:hAnsi="Times New Roman"/>
          <w:b/>
          <w:sz w:val="28"/>
          <w:szCs w:val="28"/>
          <w:lang w:eastAsia="ru-RU"/>
        </w:rPr>
      </w:pPr>
      <w:r w:rsidRPr="00AF2AB7">
        <w:rPr>
          <w:rFonts w:ascii="Times New Roman" w:hAnsi="Times New Roman"/>
          <w:color w:val="000000"/>
          <w:sz w:val="28"/>
          <w:szCs w:val="28"/>
          <w:lang w:val="kk-KZ"/>
        </w:rPr>
        <w:t>- псевдодефицитный (витамин-Д-зависимый) рахит и остеомаляция</w:t>
      </w:r>
    </w:p>
    <w:p w14:paraId="5794E633" w14:textId="77777777" w:rsidR="00AF2AB7" w:rsidRDefault="00AF2AB7" w:rsidP="00844CE8">
      <w:pPr>
        <w:spacing w:after="0" w:line="240" w:lineRule="auto"/>
        <w:jc w:val="both"/>
        <w:rPr>
          <w:rFonts w:ascii="Times New Roman" w:eastAsia="Times New Roman" w:hAnsi="Times New Roman"/>
          <w:b/>
          <w:sz w:val="28"/>
          <w:szCs w:val="28"/>
          <w:lang w:eastAsia="ru-RU"/>
        </w:rPr>
      </w:pPr>
    </w:p>
    <w:p w14:paraId="0650179C"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Перечень сведений, н</w:t>
      </w:r>
      <w:r w:rsidR="00844CE8">
        <w:rPr>
          <w:rFonts w:ascii="Times New Roman" w:eastAsia="Times New Roman" w:hAnsi="Times New Roman"/>
          <w:b/>
          <w:sz w:val="28"/>
          <w:szCs w:val="28"/>
          <w:lang w:eastAsia="ru-RU"/>
        </w:rPr>
        <w:t>еобходимых до начала применения</w:t>
      </w:r>
    </w:p>
    <w:p w14:paraId="49A6706C" w14:textId="77777777" w:rsidR="007D0E84" w:rsidRPr="00844CE8" w:rsidRDefault="007D0E84" w:rsidP="00844CE8">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Противопоказания</w:t>
      </w:r>
    </w:p>
    <w:p w14:paraId="1133B448" w14:textId="77777777" w:rsidR="00AF2AB7" w:rsidRPr="00AF2AB7" w:rsidRDefault="00AF2AB7" w:rsidP="00AF2AB7">
      <w:pPr>
        <w:spacing w:after="0" w:line="240" w:lineRule="auto"/>
        <w:jc w:val="both"/>
        <w:rPr>
          <w:rFonts w:ascii="Times New Roman" w:hAnsi="Times New Roman"/>
          <w:sz w:val="28"/>
          <w:szCs w:val="28"/>
        </w:rPr>
      </w:pPr>
      <w:r w:rsidRPr="00AF2AB7">
        <w:rPr>
          <w:rFonts w:ascii="Times New Roman" w:hAnsi="Times New Roman"/>
          <w:sz w:val="28"/>
          <w:szCs w:val="28"/>
        </w:rPr>
        <w:t>- гиперчувствительность к действующему веществу или к любому из вспомогательных веществ, перечисленных в разделе</w:t>
      </w:r>
      <w:r>
        <w:rPr>
          <w:rFonts w:ascii="Times New Roman" w:hAnsi="Times New Roman"/>
          <w:sz w:val="28"/>
          <w:szCs w:val="28"/>
        </w:rPr>
        <w:t xml:space="preserve"> «Состав»</w:t>
      </w:r>
    </w:p>
    <w:p w14:paraId="0797E7DB" w14:textId="77777777" w:rsidR="00AF2AB7" w:rsidRPr="00AF2AB7" w:rsidRDefault="00AF2AB7" w:rsidP="00AF2AB7">
      <w:pPr>
        <w:spacing w:after="0" w:line="240" w:lineRule="auto"/>
        <w:jc w:val="both"/>
        <w:rPr>
          <w:rFonts w:ascii="Times New Roman" w:hAnsi="Times New Roman"/>
          <w:sz w:val="28"/>
          <w:szCs w:val="28"/>
        </w:rPr>
      </w:pPr>
      <w:r w:rsidRPr="00AF2AB7">
        <w:rPr>
          <w:rFonts w:ascii="Times New Roman" w:hAnsi="Times New Roman"/>
          <w:sz w:val="28"/>
          <w:szCs w:val="28"/>
        </w:rPr>
        <w:t>- гиперкальциемия, гиперкальциурия</w:t>
      </w:r>
    </w:p>
    <w:p w14:paraId="69A66ACA" w14:textId="77777777" w:rsidR="00AF2AB7" w:rsidRPr="00AF2AB7" w:rsidRDefault="00AF2AB7" w:rsidP="00AF2AB7">
      <w:pPr>
        <w:spacing w:after="0" w:line="240" w:lineRule="auto"/>
        <w:jc w:val="both"/>
        <w:rPr>
          <w:rFonts w:ascii="Times New Roman" w:hAnsi="Times New Roman"/>
          <w:sz w:val="28"/>
          <w:szCs w:val="28"/>
        </w:rPr>
      </w:pPr>
      <w:r w:rsidRPr="00AF2AB7">
        <w:rPr>
          <w:rFonts w:ascii="Times New Roman" w:hAnsi="Times New Roman"/>
          <w:sz w:val="28"/>
          <w:szCs w:val="28"/>
        </w:rPr>
        <w:t>- гиперфосфатемия (за исключением гиперфосфатемии при гипопаратиреозе)</w:t>
      </w:r>
    </w:p>
    <w:p w14:paraId="305BA3FF" w14:textId="77777777" w:rsidR="00AF2AB7" w:rsidRPr="00AF2AB7" w:rsidRDefault="00AF2AB7" w:rsidP="00AF2AB7">
      <w:pPr>
        <w:spacing w:after="0" w:line="240" w:lineRule="auto"/>
        <w:jc w:val="both"/>
        <w:rPr>
          <w:rFonts w:ascii="Times New Roman" w:hAnsi="Times New Roman"/>
          <w:sz w:val="28"/>
          <w:szCs w:val="28"/>
        </w:rPr>
      </w:pPr>
      <w:r w:rsidRPr="00AF2AB7">
        <w:rPr>
          <w:rFonts w:ascii="Times New Roman" w:hAnsi="Times New Roman"/>
          <w:sz w:val="28"/>
          <w:szCs w:val="28"/>
        </w:rPr>
        <w:t>- гипермагнемия</w:t>
      </w:r>
    </w:p>
    <w:p w14:paraId="46AF3498" w14:textId="77777777" w:rsidR="00265C04" w:rsidRDefault="00AF2AB7" w:rsidP="00265C04">
      <w:pPr>
        <w:spacing w:after="0" w:line="240" w:lineRule="auto"/>
        <w:jc w:val="both"/>
        <w:rPr>
          <w:rFonts w:ascii="Times New Roman" w:eastAsia="Times New Roman" w:hAnsi="Times New Roman"/>
          <w:sz w:val="28"/>
          <w:szCs w:val="28"/>
          <w:lang w:eastAsia="ru-RU"/>
        </w:rPr>
      </w:pPr>
      <w:r w:rsidRPr="00AF2AB7">
        <w:rPr>
          <w:rFonts w:ascii="Times New Roman" w:hAnsi="Times New Roman"/>
          <w:sz w:val="28"/>
          <w:szCs w:val="28"/>
        </w:rPr>
        <w:t>- детский и подростковый возраст до 18 лет</w:t>
      </w:r>
      <w:r w:rsidR="00265C04">
        <w:rPr>
          <w:rFonts w:ascii="Times New Roman" w:hAnsi="Times New Roman"/>
          <w:sz w:val="28"/>
          <w:szCs w:val="28"/>
        </w:rPr>
        <w:t xml:space="preserve"> </w:t>
      </w:r>
      <w:r w:rsidR="00265C04" w:rsidRPr="00265C04">
        <w:rPr>
          <w:rFonts w:ascii="Times New Roman" w:eastAsia="Times New Roman" w:hAnsi="Times New Roman"/>
          <w:sz w:val="28"/>
          <w:szCs w:val="28"/>
          <w:lang w:eastAsia="ru-RU"/>
        </w:rPr>
        <w:t>(для дозировки 1.0 мкг из-за наличия красителей)</w:t>
      </w:r>
    </w:p>
    <w:p w14:paraId="4A818595" w14:textId="77777777" w:rsidR="00265C04" w:rsidRPr="00265C04" w:rsidRDefault="00265C04" w:rsidP="00265C04">
      <w:pPr>
        <w:spacing w:after="0" w:line="240" w:lineRule="auto"/>
        <w:jc w:val="both"/>
        <w:rPr>
          <w:rFonts w:ascii="Times New Roman" w:eastAsia="Times New Roman" w:hAnsi="Times New Roman"/>
          <w:b/>
          <w:bCs/>
          <w:i/>
          <w:iCs/>
          <w:sz w:val="28"/>
          <w:szCs w:val="28"/>
          <w:lang w:eastAsia="ru-RU"/>
        </w:rPr>
      </w:pPr>
      <w:r w:rsidRPr="00265C04">
        <w:rPr>
          <w:rFonts w:ascii="Times New Roman" w:eastAsia="Times New Roman" w:hAnsi="Times New Roman"/>
          <w:b/>
          <w:bCs/>
          <w:i/>
          <w:iCs/>
          <w:sz w:val="28"/>
          <w:szCs w:val="28"/>
          <w:lang w:eastAsia="ru-RU"/>
        </w:rPr>
        <w:t>Необходимые меры предосторожности</w:t>
      </w:r>
    </w:p>
    <w:p w14:paraId="65EE8137" w14:textId="77777777" w:rsidR="00265C04" w:rsidRPr="00265C04" w:rsidRDefault="00265C04" w:rsidP="004B17DD">
      <w:pPr>
        <w:spacing w:after="0" w:line="240" w:lineRule="auto"/>
        <w:jc w:val="both"/>
        <w:rPr>
          <w:rFonts w:ascii="Times New Roman" w:eastAsia="Times New Roman" w:hAnsi="Times New Roman"/>
          <w:sz w:val="28"/>
          <w:szCs w:val="28"/>
          <w:lang w:eastAsia="ru-RU"/>
        </w:rPr>
      </w:pPr>
      <w:r w:rsidRPr="00265C04">
        <w:rPr>
          <w:rFonts w:ascii="Times New Roman" w:eastAsia="Times New Roman" w:hAnsi="Times New Roman"/>
          <w:sz w:val="28"/>
          <w:szCs w:val="28"/>
          <w:lang w:eastAsia="ru-RU"/>
        </w:rPr>
        <w:t xml:space="preserve">Препарат Альфадол содержит сорбитол жидкий некристаллизующийся, краситель Понсо 4R Супра (Е 124) (для дозировки 0.25 мкг), краситель индигокармин (Е 132) (для дозировки 1.0 мкг), краситель хинолиновый желтый (Е 104) (для дозировки 1.0 мкг). </w:t>
      </w:r>
      <w:bookmarkStart w:id="1" w:name="_Hlk88227163"/>
      <w:r w:rsidR="004B17DD">
        <w:rPr>
          <w:rFonts w:ascii="Times New Roman" w:eastAsia="Times New Roman" w:hAnsi="Times New Roman"/>
          <w:sz w:val="28"/>
          <w:szCs w:val="28"/>
          <w:lang w:eastAsia="ru-RU"/>
        </w:rPr>
        <w:t>Вещество сорбитол жидкий некристаллизующийся оказывает у</w:t>
      </w:r>
      <w:r w:rsidR="004B17DD" w:rsidRPr="004B17DD">
        <w:rPr>
          <w:rFonts w:ascii="Times New Roman" w:eastAsia="Times New Roman" w:hAnsi="Times New Roman"/>
          <w:sz w:val="28"/>
          <w:szCs w:val="28"/>
          <w:lang w:eastAsia="ru-RU"/>
        </w:rPr>
        <w:t>меренное послабляющее действие;</w:t>
      </w:r>
      <w:r w:rsidR="004B17DD">
        <w:rPr>
          <w:rFonts w:ascii="Times New Roman" w:eastAsia="Times New Roman" w:hAnsi="Times New Roman"/>
          <w:sz w:val="28"/>
          <w:szCs w:val="28"/>
          <w:lang w:eastAsia="ru-RU"/>
        </w:rPr>
        <w:t xml:space="preserve"> </w:t>
      </w:r>
      <w:r w:rsidR="004B17DD" w:rsidRPr="004B17DD">
        <w:rPr>
          <w:rFonts w:ascii="Times New Roman" w:eastAsia="Times New Roman" w:hAnsi="Times New Roman"/>
          <w:sz w:val="28"/>
          <w:szCs w:val="28"/>
          <w:lang w:eastAsia="ru-RU"/>
        </w:rPr>
        <w:t>калорийность сорбитола - 2,6 ккал/г</w:t>
      </w:r>
      <w:r w:rsidR="004B17DD">
        <w:rPr>
          <w:rFonts w:ascii="Times New Roman" w:eastAsia="Times New Roman" w:hAnsi="Times New Roman"/>
          <w:sz w:val="28"/>
          <w:szCs w:val="28"/>
          <w:lang w:eastAsia="ru-RU"/>
        </w:rPr>
        <w:t>.</w:t>
      </w:r>
      <w:bookmarkEnd w:id="1"/>
      <w:r w:rsidR="004B17DD">
        <w:rPr>
          <w:rFonts w:ascii="Times New Roman" w:eastAsia="Times New Roman" w:hAnsi="Times New Roman"/>
          <w:sz w:val="28"/>
          <w:szCs w:val="28"/>
          <w:lang w:eastAsia="ru-RU"/>
        </w:rPr>
        <w:t xml:space="preserve"> </w:t>
      </w:r>
      <w:r w:rsidRPr="00265C04">
        <w:rPr>
          <w:rFonts w:ascii="Times New Roman" w:eastAsia="Times New Roman" w:hAnsi="Times New Roman"/>
          <w:sz w:val="28"/>
          <w:szCs w:val="28"/>
          <w:lang w:eastAsia="ru-RU"/>
        </w:rPr>
        <w:t>В связи с наличием запрещенных красителей для применения у детей в составе капсул дозировкой 1.0 мкг данный препарат</w:t>
      </w:r>
      <w:r w:rsidR="000C0511">
        <w:rPr>
          <w:rFonts w:ascii="Times New Roman" w:eastAsia="Times New Roman" w:hAnsi="Times New Roman"/>
          <w:sz w:val="28"/>
          <w:szCs w:val="28"/>
          <w:lang w:eastAsia="ru-RU"/>
        </w:rPr>
        <w:t xml:space="preserve"> Альфадол, 1.0 мкг,</w:t>
      </w:r>
      <w:r w:rsidRPr="00265C04">
        <w:rPr>
          <w:rFonts w:ascii="Times New Roman" w:eastAsia="Times New Roman" w:hAnsi="Times New Roman"/>
          <w:sz w:val="28"/>
          <w:szCs w:val="28"/>
          <w:lang w:eastAsia="ru-RU"/>
        </w:rPr>
        <w:t xml:space="preserve"> запрещен к применению у детей.</w:t>
      </w:r>
    </w:p>
    <w:p w14:paraId="09DFFDE4" w14:textId="77777777" w:rsidR="007D0E84" w:rsidRPr="00844CE8" w:rsidRDefault="007D0E84" w:rsidP="00AF2AB7">
      <w:pPr>
        <w:spacing w:after="0" w:line="240" w:lineRule="auto"/>
        <w:jc w:val="both"/>
        <w:rPr>
          <w:rFonts w:ascii="Times New Roman" w:eastAsia="Times New Roman" w:hAnsi="Times New Roman"/>
          <w:b/>
          <w:i/>
          <w:sz w:val="28"/>
          <w:szCs w:val="28"/>
          <w:lang w:eastAsia="ru-RU"/>
        </w:rPr>
      </w:pPr>
      <w:r w:rsidRPr="00844CE8">
        <w:rPr>
          <w:rFonts w:ascii="Times New Roman" w:eastAsia="Times New Roman" w:hAnsi="Times New Roman"/>
          <w:b/>
          <w:i/>
          <w:sz w:val="28"/>
          <w:szCs w:val="28"/>
          <w:lang w:eastAsia="ru-RU"/>
        </w:rPr>
        <w:t>Взаимодействия с другими лекарственными препаратами</w:t>
      </w:r>
    </w:p>
    <w:p w14:paraId="711BBE4F"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r w:rsidRPr="00AF2AB7">
        <w:rPr>
          <w:rFonts w:ascii="Times New Roman" w:eastAsia="Times New Roman" w:hAnsi="Times New Roman"/>
          <w:i/>
          <w:sz w:val="28"/>
          <w:szCs w:val="28"/>
          <w:lang w:eastAsia="ru-RU"/>
        </w:rPr>
        <w:t>Тиазидные диуретики и кальцийсодержащие препараты</w:t>
      </w:r>
      <w:r w:rsidRPr="00AF2AB7">
        <w:rPr>
          <w:rFonts w:ascii="Times New Roman" w:eastAsia="Times New Roman" w:hAnsi="Times New Roman"/>
          <w:sz w:val="28"/>
          <w:szCs w:val="28"/>
          <w:lang w:eastAsia="ru-RU"/>
        </w:rPr>
        <w:t xml:space="preserve"> </w:t>
      </w:r>
    </w:p>
    <w:p w14:paraId="5060DC87"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bookmarkStart w:id="2" w:name="_Hlk63260999"/>
      <w:r w:rsidRPr="00AF2AB7">
        <w:rPr>
          <w:rFonts w:ascii="Times New Roman" w:eastAsia="Times New Roman" w:hAnsi="Times New Roman"/>
          <w:sz w:val="28"/>
          <w:szCs w:val="28"/>
          <w:lang w:eastAsia="ru-RU"/>
        </w:rPr>
        <w:t xml:space="preserve">При одновременном применении с тиазидными диуретиками и кальцийсодержащими препаратами может повыситься риск развития гиперкальциемии. </w:t>
      </w:r>
      <w:bookmarkEnd w:id="2"/>
      <w:r w:rsidRPr="00AF2AB7">
        <w:rPr>
          <w:rFonts w:ascii="Times New Roman" w:eastAsia="Times New Roman" w:hAnsi="Times New Roman"/>
          <w:sz w:val="28"/>
          <w:szCs w:val="28"/>
          <w:lang w:eastAsia="ru-RU"/>
        </w:rPr>
        <w:t>Уровень кальция должен контролироваться.</w:t>
      </w:r>
    </w:p>
    <w:p w14:paraId="2EF8FC63" w14:textId="77777777" w:rsidR="00AF2AB7" w:rsidRPr="00AF2AB7" w:rsidRDefault="00AF2AB7" w:rsidP="00AF2AB7">
      <w:pPr>
        <w:spacing w:after="0" w:line="240" w:lineRule="auto"/>
        <w:jc w:val="both"/>
        <w:rPr>
          <w:rFonts w:ascii="Times New Roman" w:eastAsia="Times New Roman" w:hAnsi="Times New Roman"/>
          <w:i/>
          <w:sz w:val="28"/>
          <w:szCs w:val="28"/>
          <w:lang w:eastAsia="ru-RU"/>
        </w:rPr>
      </w:pPr>
      <w:r w:rsidRPr="00AF2AB7">
        <w:rPr>
          <w:rFonts w:ascii="Times New Roman" w:eastAsia="Times New Roman" w:hAnsi="Times New Roman"/>
          <w:i/>
          <w:sz w:val="28"/>
          <w:szCs w:val="28"/>
          <w:lang w:eastAsia="ru-RU"/>
        </w:rPr>
        <w:t xml:space="preserve">Другие препараты, содержащие витамин Д </w:t>
      </w:r>
    </w:p>
    <w:p w14:paraId="20F73789"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r w:rsidRPr="00AF2AB7">
        <w:rPr>
          <w:rFonts w:ascii="Times New Roman" w:eastAsia="Times New Roman" w:hAnsi="Times New Roman"/>
          <w:sz w:val="28"/>
          <w:szCs w:val="28"/>
          <w:lang w:eastAsia="ru-RU"/>
        </w:rPr>
        <w:t>При одновременном применении увеличивается риск гиперкальциемии. Следует избегать использования нескольких аналогов витамина Д.</w:t>
      </w:r>
    </w:p>
    <w:p w14:paraId="471A46E1" w14:textId="77777777" w:rsidR="00AF2AB7" w:rsidRPr="00AF2AB7" w:rsidRDefault="00AF2AB7" w:rsidP="00AF2AB7">
      <w:pPr>
        <w:spacing w:after="0" w:line="240" w:lineRule="auto"/>
        <w:jc w:val="both"/>
        <w:rPr>
          <w:rFonts w:ascii="Times New Roman" w:eastAsia="Times New Roman" w:hAnsi="Times New Roman"/>
          <w:i/>
          <w:sz w:val="28"/>
          <w:szCs w:val="28"/>
          <w:lang w:eastAsia="ru-RU"/>
        </w:rPr>
      </w:pPr>
      <w:r w:rsidRPr="00AF2AB7">
        <w:rPr>
          <w:rFonts w:ascii="Times New Roman" w:eastAsia="Times New Roman" w:hAnsi="Times New Roman"/>
          <w:i/>
          <w:sz w:val="28"/>
          <w:szCs w:val="28"/>
          <w:lang w:eastAsia="ru-RU"/>
        </w:rPr>
        <w:t>Противосудорожные средства</w:t>
      </w:r>
    </w:p>
    <w:p w14:paraId="561E03D9"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r w:rsidRPr="00AF2AB7">
        <w:rPr>
          <w:rFonts w:ascii="Times New Roman" w:eastAsia="Times New Roman" w:hAnsi="Times New Roman"/>
          <w:sz w:val="28"/>
          <w:szCs w:val="28"/>
          <w:lang w:eastAsia="ru-RU"/>
        </w:rPr>
        <w:t>(например, барбитураты, фенитоин, карбамазепин или примидон) обладают фермент-индуцирующим эффектом, приводящим к усиленному метаболизму альфакальцидола. Пациентам, принимающим противосудорожные средства, могут потребоваться более высокие дозы альфакальцидола.</w:t>
      </w:r>
    </w:p>
    <w:p w14:paraId="58867B11" w14:textId="77777777" w:rsidR="00AF2AB7" w:rsidRPr="00AF2AB7" w:rsidRDefault="00AF2AB7" w:rsidP="00AF2AB7">
      <w:pPr>
        <w:spacing w:after="0" w:line="240" w:lineRule="auto"/>
        <w:jc w:val="both"/>
        <w:rPr>
          <w:rFonts w:ascii="Times New Roman" w:eastAsia="Times New Roman" w:hAnsi="Times New Roman"/>
          <w:i/>
          <w:sz w:val="28"/>
          <w:szCs w:val="28"/>
          <w:lang w:eastAsia="ru-RU"/>
        </w:rPr>
      </w:pPr>
      <w:r w:rsidRPr="00AF2AB7">
        <w:rPr>
          <w:rFonts w:ascii="Times New Roman" w:eastAsia="Times New Roman" w:hAnsi="Times New Roman"/>
          <w:i/>
          <w:sz w:val="28"/>
          <w:szCs w:val="28"/>
          <w:lang w:eastAsia="ru-RU"/>
        </w:rPr>
        <w:t>Магнийсодержащие антациды</w:t>
      </w:r>
    </w:p>
    <w:p w14:paraId="3A2C0FD8"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r w:rsidRPr="00AF2AB7">
        <w:rPr>
          <w:rFonts w:ascii="Times New Roman" w:eastAsia="Times New Roman" w:hAnsi="Times New Roman"/>
          <w:sz w:val="28"/>
          <w:szCs w:val="28"/>
          <w:lang w:eastAsia="ru-RU"/>
        </w:rPr>
        <w:t>Альфакальцидол может усиливать всасывание магнийсодержащих антацидов, увеличивая риск развития гипермагниемии.</w:t>
      </w:r>
    </w:p>
    <w:p w14:paraId="4768B50C" w14:textId="77777777" w:rsidR="00AF2AB7" w:rsidRPr="00AF2AB7" w:rsidRDefault="00AF2AB7" w:rsidP="00AF2AB7">
      <w:pPr>
        <w:spacing w:after="0" w:line="240" w:lineRule="auto"/>
        <w:jc w:val="both"/>
        <w:rPr>
          <w:rFonts w:ascii="Times New Roman" w:eastAsia="Times New Roman" w:hAnsi="Times New Roman"/>
          <w:i/>
          <w:sz w:val="28"/>
          <w:szCs w:val="28"/>
          <w:lang w:eastAsia="ru-RU"/>
        </w:rPr>
      </w:pPr>
      <w:r w:rsidRPr="00AF2AB7">
        <w:rPr>
          <w:rFonts w:ascii="Times New Roman" w:eastAsia="Times New Roman" w:hAnsi="Times New Roman"/>
          <w:i/>
          <w:sz w:val="28"/>
          <w:szCs w:val="28"/>
          <w:lang w:eastAsia="ru-RU"/>
        </w:rPr>
        <w:t>Алюминийсодержащие препараты</w:t>
      </w:r>
    </w:p>
    <w:p w14:paraId="16F67690"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r w:rsidRPr="00AF2AB7">
        <w:rPr>
          <w:rFonts w:ascii="Times New Roman" w:eastAsia="Times New Roman" w:hAnsi="Times New Roman"/>
          <w:sz w:val="28"/>
          <w:szCs w:val="28"/>
          <w:lang w:eastAsia="ru-RU"/>
        </w:rPr>
        <w:t>Альфакальцидол может увеличить сывороточную концентрацию алюминия. Пациенты, принимающие алюминийсодержащие препараты (например, гидроксид алюминия, сукральфат), должны контролироваться на наличие признаков токсичности, связанной с алюминием.</w:t>
      </w:r>
    </w:p>
    <w:p w14:paraId="082F26B1" w14:textId="77777777" w:rsidR="00AF2AB7" w:rsidRPr="00AF2AB7" w:rsidRDefault="00AF2AB7" w:rsidP="00AF2AB7">
      <w:pPr>
        <w:spacing w:after="0" w:line="240" w:lineRule="auto"/>
        <w:jc w:val="both"/>
        <w:rPr>
          <w:rFonts w:ascii="Times New Roman" w:eastAsia="Times New Roman" w:hAnsi="Times New Roman"/>
          <w:sz w:val="28"/>
          <w:szCs w:val="28"/>
          <w:lang w:eastAsia="ru-RU"/>
        </w:rPr>
      </w:pPr>
      <w:r w:rsidRPr="00AF2AB7">
        <w:rPr>
          <w:rFonts w:ascii="Times New Roman" w:eastAsia="Times New Roman" w:hAnsi="Times New Roman"/>
          <w:sz w:val="28"/>
          <w:szCs w:val="28"/>
          <w:lang w:eastAsia="ru-RU"/>
        </w:rPr>
        <w:lastRenderedPageBreak/>
        <w:t xml:space="preserve">Сопутствующее пероральное применение </w:t>
      </w:r>
      <w:r w:rsidRPr="00AF2AB7">
        <w:rPr>
          <w:rFonts w:ascii="Times New Roman" w:eastAsia="Times New Roman" w:hAnsi="Times New Roman"/>
          <w:i/>
          <w:iCs/>
          <w:sz w:val="28"/>
          <w:szCs w:val="28"/>
          <w:lang w:eastAsia="ru-RU"/>
        </w:rPr>
        <w:t>секвестрантов желчных кислот</w:t>
      </w:r>
      <w:r w:rsidRPr="00AF2AB7">
        <w:rPr>
          <w:rFonts w:ascii="Times New Roman" w:eastAsia="Times New Roman" w:hAnsi="Times New Roman"/>
          <w:sz w:val="28"/>
          <w:szCs w:val="28"/>
          <w:lang w:eastAsia="ru-RU"/>
        </w:rPr>
        <w:t>, таких как холестирамин, может ухудшить кишечную абсорбцию альфакальцидола, принимаемого внутрь. Альфакальцидол следует принимать, по крайней мере, за 1 час до или через 4-6 часов после приема секвестранта желчных кислот, чтобы минимизировать потенциальный риск взаимодействия.</w:t>
      </w:r>
    </w:p>
    <w:p w14:paraId="13EC0681" w14:textId="77777777" w:rsidR="00D43297" w:rsidRPr="009478D4" w:rsidRDefault="00D43297" w:rsidP="00844CE8">
      <w:pPr>
        <w:spacing w:after="0" w:line="240" w:lineRule="auto"/>
        <w:jc w:val="both"/>
        <w:rPr>
          <w:rFonts w:ascii="Times New Roman" w:eastAsia="Times New Roman" w:hAnsi="Times New Roman"/>
          <w:b/>
          <w:i/>
          <w:sz w:val="28"/>
          <w:szCs w:val="28"/>
          <w:lang w:eastAsia="ru-RU"/>
        </w:rPr>
      </w:pPr>
      <w:r w:rsidRPr="009478D4">
        <w:rPr>
          <w:rFonts w:ascii="Times New Roman" w:eastAsia="Times New Roman" w:hAnsi="Times New Roman"/>
          <w:b/>
          <w:i/>
          <w:sz w:val="28"/>
          <w:szCs w:val="28"/>
          <w:lang w:eastAsia="ru-RU"/>
        </w:rPr>
        <w:t>Специальные предупреждения</w:t>
      </w:r>
    </w:p>
    <w:p w14:paraId="60C25129"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Сообщите лечащему врачу или фармацевту о том, что вы принимаете, недавно принимали или можете начать принимать какие-либо другие препараты.</w:t>
      </w:r>
    </w:p>
    <w:p w14:paraId="19B08AFB"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Во время лечения альфакальцидолом следует регулярно контролировать уровни сывороточного кальция и фосфата сыворотки, особенно у пациентов с почечной недостаточностью и пациентов, получающих высокие дозы. ПТГ, щелочная фосфатаза и фосфаты кальция должны контролироваться в соответствии с клиническими показаниями.</w:t>
      </w:r>
    </w:p>
    <w:p w14:paraId="24D0870B"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Гиперкальциемия может появиться у пациентов, получавших альфакальцидол. По этой причине пациенты должны быть проинформированы о клинических симптомах, связанных с гиперкальциемией. Признаками гиперкальциемии являются боль в мышцах и костях, мышечная слабость, спутанность сознания, обезвоживание, анорексия, усталость, тошнота и рвота, запоры, полиурия, потливость, головная боль, полидипсия, гипертония и сонливость.</w:t>
      </w:r>
    </w:p>
    <w:p w14:paraId="6ED96BE3"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Гиперкальциемия может быть скорректирована путем отмены препарата и снижения потребления кальция до тех пор, пока уровень кальция в плазме не нормализуется (примерно через неделю). Затем терапия может быть продолжена, начиная с половины последней применявшейся дозы с мониторингом уровня кальция.</w:t>
      </w:r>
    </w:p>
    <w:p w14:paraId="260CDAD4"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Длительная гиперкальциемия может усугубить атеросклероз, склероз сердечных клапанов или нефролитиаз, и, следовательно, следует избегать длительной гиперкальциемии, когда у этих пациентов используется альфакальцидол. Наблюдалось временное или даже длительное ухудшение функции почек. Альфакальцидол также следует использовать с осторожностью у пациентов с кальцификацией легочной ткани, так как это может привести к сердечным заболеваниям.</w:t>
      </w:r>
    </w:p>
    <w:p w14:paraId="5633B821"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bookmarkStart w:id="3" w:name="_Hlk63263843"/>
      <w:r w:rsidRPr="009478D4">
        <w:rPr>
          <w:rFonts w:ascii="Times New Roman" w:eastAsia="Times New Roman" w:hAnsi="Times New Roman"/>
          <w:sz w:val="28"/>
          <w:szCs w:val="28"/>
          <w:lang w:eastAsia="ru-RU"/>
        </w:rPr>
        <w:t>У пациентов с почечной остеодистрофией или с серьезным снижением функции почек можно одновременно с альфакальцидолом использовать фосфатсвязывающий агент для предотвращения повышения уровня фосфата в сыворотке и потенциальной метастатической кальцификации.</w:t>
      </w:r>
    </w:p>
    <w:bookmarkEnd w:id="3"/>
    <w:p w14:paraId="192B9DE9" w14:textId="77777777" w:rsid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Альфакальцидол следует использовать с осторожностью у пациентов с гранулематозными заболеваниями, такими как саркоидоз, у которых повышена чувствительность к витамину Д из-за повышенной активности гидроксилирования.</w:t>
      </w:r>
    </w:p>
    <w:p w14:paraId="3955B7E8" w14:textId="77777777" w:rsidR="000C0511" w:rsidRPr="000C0511" w:rsidRDefault="000C0511" w:rsidP="009478D4">
      <w:pPr>
        <w:spacing w:after="0" w:line="240" w:lineRule="auto"/>
        <w:jc w:val="both"/>
        <w:rPr>
          <w:rFonts w:ascii="Times New Roman" w:eastAsia="Times New Roman" w:hAnsi="Times New Roman"/>
          <w:sz w:val="28"/>
          <w:szCs w:val="28"/>
          <w:lang w:eastAsia="ru-RU"/>
        </w:rPr>
      </w:pPr>
      <w:bookmarkStart w:id="4" w:name="_Hlk88226201"/>
      <w:r w:rsidRPr="000C0511">
        <w:rPr>
          <w:rFonts w:ascii="Times New Roman" w:eastAsia="Times New Roman" w:hAnsi="Times New Roman"/>
          <w:sz w:val="28"/>
          <w:szCs w:val="28"/>
          <w:lang w:eastAsia="ru-RU"/>
        </w:rPr>
        <w:lastRenderedPageBreak/>
        <w:t xml:space="preserve">Препарат Альфадол содержит сорбитол жидкий некристаллизующийся, краситель Понсо 4R Супра (Е 124) (для дозировки 0.25 мкг), краситель индигокармин (Е 132) (для дозировки 1.0 мкг), краситель хинолиновый желтый (Е 104) (для дозировки 1.0 мкг). </w:t>
      </w:r>
      <w:r w:rsidR="004B17DD">
        <w:rPr>
          <w:rFonts w:ascii="Times New Roman" w:eastAsia="Times New Roman" w:hAnsi="Times New Roman"/>
          <w:sz w:val="28"/>
          <w:szCs w:val="28"/>
          <w:lang w:eastAsia="ru-RU"/>
        </w:rPr>
        <w:t>Вещество сорбитол жидкий некристаллизующийся оказывает у</w:t>
      </w:r>
      <w:r w:rsidR="004B17DD" w:rsidRPr="004B17DD">
        <w:rPr>
          <w:rFonts w:ascii="Times New Roman" w:eastAsia="Times New Roman" w:hAnsi="Times New Roman"/>
          <w:sz w:val="28"/>
          <w:szCs w:val="28"/>
          <w:lang w:eastAsia="ru-RU"/>
        </w:rPr>
        <w:t>меренное послабляющее действие;</w:t>
      </w:r>
      <w:r w:rsidR="004B17DD">
        <w:rPr>
          <w:rFonts w:ascii="Times New Roman" w:eastAsia="Times New Roman" w:hAnsi="Times New Roman"/>
          <w:sz w:val="28"/>
          <w:szCs w:val="28"/>
          <w:lang w:eastAsia="ru-RU"/>
        </w:rPr>
        <w:t xml:space="preserve"> </w:t>
      </w:r>
      <w:r w:rsidR="004B17DD" w:rsidRPr="004B17DD">
        <w:rPr>
          <w:rFonts w:ascii="Times New Roman" w:eastAsia="Times New Roman" w:hAnsi="Times New Roman"/>
          <w:sz w:val="28"/>
          <w:szCs w:val="28"/>
          <w:lang w:eastAsia="ru-RU"/>
        </w:rPr>
        <w:t>калорийность сорбитола - 2,6 ккал/г</w:t>
      </w:r>
      <w:r w:rsidR="004B17DD">
        <w:rPr>
          <w:rFonts w:ascii="Times New Roman" w:eastAsia="Times New Roman" w:hAnsi="Times New Roman"/>
          <w:sz w:val="28"/>
          <w:szCs w:val="28"/>
          <w:lang w:eastAsia="ru-RU"/>
        </w:rPr>
        <w:t xml:space="preserve">. </w:t>
      </w:r>
      <w:r w:rsidRPr="000C0511">
        <w:rPr>
          <w:rFonts w:ascii="Times New Roman" w:eastAsia="Times New Roman" w:hAnsi="Times New Roman"/>
          <w:sz w:val="28"/>
          <w:szCs w:val="28"/>
          <w:lang w:eastAsia="ru-RU"/>
        </w:rPr>
        <w:t>В связи с наличием запрещенных красителей для применения у детей в составе капсул дозировкой 1.0 мкг данный препарат</w:t>
      </w:r>
      <w:r>
        <w:rPr>
          <w:rFonts w:ascii="Times New Roman" w:eastAsia="Times New Roman" w:hAnsi="Times New Roman"/>
          <w:sz w:val="28"/>
          <w:szCs w:val="28"/>
          <w:lang w:eastAsia="ru-RU"/>
        </w:rPr>
        <w:t xml:space="preserve"> Альфадол, 1.0 мкг,</w:t>
      </w:r>
      <w:r w:rsidRPr="000C0511">
        <w:rPr>
          <w:rFonts w:ascii="Times New Roman" w:eastAsia="Times New Roman" w:hAnsi="Times New Roman"/>
          <w:sz w:val="28"/>
          <w:szCs w:val="28"/>
          <w:lang w:eastAsia="ru-RU"/>
        </w:rPr>
        <w:t xml:space="preserve"> запрещен к применению у детей.</w:t>
      </w:r>
      <w:bookmarkEnd w:id="4"/>
    </w:p>
    <w:p w14:paraId="287D04F7" w14:textId="77777777" w:rsidR="00D43297" w:rsidRPr="009478D4" w:rsidRDefault="00D43297" w:rsidP="00844CE8">
      <w:pPr>
        <w:spacing w:after="0" w:line="240" w:lineRule="auto"/>
        <w:jc w:val="both"/>
        <w:rPr>
          <w:rFonts w:ascii="Times New Roman" w:hAnsi="Times New Roman"/>
          <w:i/>
          <w:sz w:val="28"/>
          <w:szCs w:val="28"/>
        </w:rPr>
      </w:pPr>
      <w:r w:rsidRPr="009478D4">
        <w:rPr>
          <w:rFonts w:ascii="Times New Roman" w:hAnsi="Times New Roman"/>
          <w:i/>
          <w:sz w:val="28"/>
          <w:szCs w:val="28"/>
        </w:rPr>
        <w:t>Во время беременности или лактации</w:t>
      </w:r>
    </w:p>
    <w:p w14:paraId="5F344EB8"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Существует ограниченное количество данных об использовании альфакальцидола у беременных женщин. Исследования на животных показали репродуктивную токсичность в высоких дозах.</w:t>
      </w:r>
    </w:p>
    <w:p w14:paraId="74BCE49F"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Поэтому Альфадол не рекомендуется применять во время беременности и у женщин с детородным потенциалом, не использующих контрацепцию.</w:t>
      </w:r>
    </w:p>
    <w:p w14:paraId="0D9BAAAA"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Хотя не было установлено, вполне вероятно, что повышенное количество 1,25-дигидроксивитамина D будет обнаружено в молоке кормящих матерей, получавших альфакальцидол. Это может повлиять на метаболизм кальция у ребенка.</w:t>
      </w:r>
    </w:p>
    <w:p w14:paraId="27EEFBD3"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Следовательно, дети, находящиеся на грудном вскармливании у матерей, использующих альфакальцидол, должны тщательно контролироваться на предмет гиперкальциемии.</w:t>
      </w:r>
    </w:p>
    <w:p w14:paraId="163F8CBF" w14:textId="77777777" w:rsidR="009478D4" w:rsidRPr="009478D4" w:rsidRDefault="009478D4" w:rsidP="009478D4">
      <w:pPr>
        <w:spacing w:after="0" w:line="240" w:lineRule="auto"/>
        <w:jc w:val="both"/>
        <w:rPr>
          <w:rFonts w:ascii="Times New Roman" w:hAnsi="Times New Roman"/>
          <w:i/>
          <w:color w:val="000000"/>
          <w:sz w:val="28"/>
          <w:szCs w:val="28"/>
        </w:rPr>
      </w:pPr>
      <w:r w:rsidRPr="009478D4">
        <w:rPr>
          <w:rFonts w:ascii="Times New Roman" w:hAnsi="Times New Roman"/>
          <w:i/>
          <w:color w:val="000000"/>
          <w:sz w:val="28"/>
          <w:szCs w:val="28"/>
        </w:rPr>
        <w:t>Фертильность</w:t>
      </w:r>
    </w:p>
    <w:p w14:paraId="1F072C9E"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Нет данных о влиянии альфакальцидола на фертильность.</w:t>
      </w:r>
      <w:r w:rsidRPr="009478D4">
        <w:rPr>
          <w:sz w:val="28"/>
          <w:szCs w:val="28"/>
        </w:rPr>
        <w:t xml:space="preserve"> </w:t>
      </w:r>
      <w:r w:rsidRPr="009478D4">
        <w:rPr>
          <w:rFonts w:ascii="Times New Roman" w:eastAsia="Times New Roman" w:hAnsi="Times New Roman"/>
          <w:sz w:val="28"/>
          <w:szCs w:val="28"/>
          <w:lang w:eastAsia="ru-RU"/>
        </w:rPr>
        <w:t>Доклиническое исследование не показало влияния на фертильность у крыс.</w:t>
      </w:r>
    </w:p>
    <w:p w14:paraId="714769D6" w14:textId="77777777" w:rsidR="00FA4F7C" w:rsidRPr="009478D4" w:rsidRDefault="00FA4F7C" w:rsidP="00844CE8">
      <w:pPr>
        <w:spacing w:after="0" w:line="240" w:lineRule="auto"/>
        <w:jc w:val="both"/>
        <w:rPr>
          <w:rFonts w:ascii="Times New Roman" w:hAnsi="Times New Roman"/>
          <w:i/>
          <w:sz w:val="28"/>
          <w:szCs w:val="28"/>
        </w:rPr>
      </w:pPr>
      <w:r w:rsidRPr="009478D4">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5BB418AC" w14:textId="77777777" w:rsidR="009478D4" w:rsidRPr="009478D4" w:rsidRDefault="009478D4" w:rsidP="009478D4">
      <w:pPr>
        <w:spacing w:after="0" w:line="240" w:lineRule="auto"/>
        <w:jc w:val="both"/>
        <w:rPr>
          <w:rFonts w:ascii="Times New Roman" w:eastAsia="Times New Roman" w:hAnsi="Times New Roman"/>
          <w:sz w:val="28"/>
          <w:szCs w:val="28"/>
          <w:lang w:eastAsia="ru-RU"/>
        </w:rPr>
      </w:pPr>
      <w:r w:rsidRPr="009478D4">
        <w:rPr>
          <w:rFonts w:ascii="Times New Roman" w:eastAsia="Times New Roman" w:hAnsi="Times New Roman"/>
          <w:sz w:val="28"/>
          <w:szCs w:val="28"/>
          <w:lang w:eastAsia="ru-RU"/>
        </w:rPr>
        <w:t>Альфакальцидол не оказывает прямого или незначительного влияния на способность управлять транспортными средствами и потенциально опасными механизмами. Однако пациент должен быть проинформирован о том, что во время лечения может возникнуть головокружение. Следует соблюдать осторожность при управлении транспортными средствами и механизмами, требующими повышенной концентрации внимания и быстроты психомоторных реакций.</w:t>
      </w:r>
    </w:p>
    <w:p w14:paraId="272367E9" w14:textId="77777777" w:rsidR="00673B03" w:rsidRDefault="00673B03" w:rsidP="00844CE8">
      <w:pPr>
        <w:spacing w:after="0" w:line="240" w:lineRule="auto"/>
        <w:jc w:val="both"/>
        <w:rPr>
          <w:rFonts w:ascii="Times New Roman" w:eastAsia="Times New Roman" w:hAnsi="Times New Roman"/>
          <w:b/>
          <w:sz w:val="28"/>
          <w:szCs w:val="28"/>
          <w:lang w:eastAsia="ru-RU"/>
        </w:rPr>
      </w:pPr>
    </w:p>
    <w:p w14:paraId="14561EED" w14:textId="77777777" w:rsidR="00DB406A" w:rsidRPr="00844CE8" w:rsidRDefault="00DB406A" w:rsidP="00844CE8">
      <w:pPr>
        <w:spacing w:after="0" w:line="240" w:lineRule="auto"/>
        <w:jc w:val="both"/>
        <w:rPr>
          <w:rFonts w:ascii="Times New Roman" w:eastAsia="Times New Roman" w:hAnsi="Times New Roman"/>
          <w:b/>
          <w:sz w:val="28"/>
          <w:szCs w:val="28"/>
          <w:lang w:eastAsia="ru-RU"/>
        </w:rPr>
      </w:pPr>
      <w:r w:rsidRPr="00844CE8">
        <w:rPr>
          <w:rFonts w:ascii="Times New Roman" w:eastAsia="Times New Roman" w:hAnsi="Times New Roman"/>
          <w:b/>
          <w:sz w:val="28"/>
          <w:szCs w:val="28"/>
          <w:lang w:eastAsia="ru-RU"/>
        </w:rPr>
        <w:t>Рекомендации по применению</w:t>
      </w:r>
    </w:p>
    <w:p w14:paraId="46ED364D" w14:textId="77777777" w:rsidR="005C4B12" w:rsidRPr="00844CE8" w:rsidRDefault="00DB406A" w:rsidP="00844CE8">
      <w:pPr>
        <w:spacing w:after="0" w:line="240" w:lineRule="auto"/>
        <w:jc w:val="both"/>
        <w:rPr>
          <w:rFonts w:ascii="Times New Roman" w:eastAsia="Times New Roman" w:hAnsi="Times New Roman"/>
          <w:b/>
          <w:i/>
          <w:sz w:val="28"/>
          <w:szCs w:val="28"/>
          <w:lang w:eastAsia="ru-RU"/>
        </w:rPr>
      </w:pPr>
      <w:bookmarkStart w:id="5" w:name="2175220274"/>
      <w:r w:rsidRPr="00844CE8">
        <w:rPr>
          <w:rFonts w:ascii="Times New Roman" w:eastAsia="Times New Roman" w:hAnsi="Times New Roman"/>
          <w:b/>
          <w:i/>
          <w:sz w:val="28"/>
          <w:szCs w:val="28"/>
          <w:lang w:eastAsia="ru-RU"/>
        </w:rPr>
        <w:t>Режим дозирования</w:t>
      </w:r>
      <w:r w:rsidR="00617843" w:rsidRPr="00844CE8">
        <w:rPr>
          <w:rFonts w:ascii="Times New Roman" w:eastAsia="Times New Roman" w:hAnsi="Times New Roman"/>
          <w:b/>
          <w:i/>
          <w:sz w:val="28"/>
          <w:szCs w:val="28"/>
          <w:lang w:eastAsia="ru-RU"/>
        </w:rPr>
        <w:t xml:space="preserve"> </w:t>
      </w:r>
    </w:p>
    <w:p w14:paraId="1548F766" w14:textId="77777777" w:rsidR="005734F2" w:rsidRPr="00A3180E" w:rsidRDefault="005734F2" w:rsidP="005734F2">
      <w:pPr>
        <w:spacing w:after="0" w:line="240" w:lineRule="auto"/>
        <w:jc w:val="both"/>
        <w:rPr>
          <w:rFonts w:ascii="Times New Roman" w:eastAsia="Times New Roman" w:hAnsi="Times New Roman"/>
          <w:sz w:val="28"/>
          <w:szCs w:val="28"/>
          <w:lang w:eastAsia="ru-RU"/>
        </w:rPr>
      </w:pPr>
      <w:bookmarkStart w:id="6" w:name="2175220278"/>
      <w:bookmarkEnd w:id="5"/>
      <w:r w:rsidRPr="000C0511">
        <w:rPr>
          <w:rFonts w:ascii="Times New Roman" w:eastAsia="Times New Roman" w:hAnsi="Times New Roman"/>
          <w:sz w:val="28"/>
          <w:szCs w:val="28"/>
          <w:lang w:eastAsia="ru-RU"/>
        </w:rPr>
        <w:t>Рекомендуемая начальная доза при всех показаниях: взрослые – 1.0 мкг/сут, пожилые 0.5 мкг/сут</w:t>
      </w:r>
      <w:r w:rsidR="00A3180E">
        <w:rPr>
          <w:rFonts w:ascii="Times New Roman" w:eastAsia="Times New Roman" w:hAnsi="Times New Roman"/>
          <w:sz w:val="28"/>
          <w:szCs w:val="28"/>
          <w:lang w:eastAsia="ru-RU"/>
        </w:rPr>
        <w:t>,</w:t>
      </w:r>
      <w:r w:rsidR="00A3180E" w:rsidRPr="00A3180E">
        <w:rPr>
          <w:rFonts w:ascii="Times New Roman" w:eastAsia="Times New Roman" w:hAnsi="Times New Roman"/>
          <w:sz w:val="24"/>
          <w:szCs w:val="24"/>
          <w:lang w:eastAsia="ru-RU"/>
        </w:rPr>
        <w:t xml:space="preserve"> </w:t>
      </w:r>
      <w:r w:rsidR="00A3180E" w:rsidRPr="00A3180E">
        <w:rPr>
          <w:rFonts w:ascii="Times New Roman" w:eastAsia="Times New Roman" w:hAnsi="Times New Roman"/>
          <w:sz w:val="28"/>
          <w:szCs w:val="28"/>
          <w:lang w:eastAsia="ru-RU"/>
        </w:rPr>
        <w:t>дети с массой тела 20 кг и более</w:t>
      </w:r>
      <w:r w:rsidR="00A3180E" w:rsidRPr="00A3180E">
        <w:rPr>
          <w:sz w:val="28"/>
          <w:szCs w:val="28"/>
        </w:rPr>
        <w:t xml:space="preserve"> </w:t>
      </w:r>
      <w:r w:rsidR="00A3180E" w:rsidRPr="00A3180E">
        <w:rPr>
          <w:rFonts w:ascii="Times New Roman" w:eastAsia="Times New Roman" w:hAnsi="Times New Roman"/>
          <w:sz w:val="28"/>
          <w:szCs w:val="28"/>
          <w:lang w:eastAsia="ru-RU"/>
        </w:rPr>
        <w:t>за исключением остеодистрофии почек – 1.0 мкг/сут,</w:t>
      </w:r>
      <w:r w:rsidR="00A3180E" w:rsidRPr="00A3180E">
        <w:rPr>
          <w:sz w:val="28"/>
          <w:szCs w:val="28"/>
        </w:rPr>
        <w:t xml:space="preserve"> </w:t>
      </w:r>
      <w:r w:rsidR="00A3180E" w:rsidRPr="00A3180E">
        <w:rPr>
          <w:rFonts w:ascii="Times New Roman" w:eastAsia="Times New Roman" w:hAnsi="Times New Roman"/>
          <w:sz w:val="28"/>
          <w:szCs w:val="28"/>
          <w:lang w:eastAsia="ru-RU"/>
        </w:rPr>
        <w:t>пациенты с остеодистрофией почек - 0.04 - 0.08 мкг/кг/сут.</w:t>
      </w:r>
    </w:p>
    <w:p w14:paraId="2B47CC36"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 xml:space="preserve">После этого дозу Альфадола следует скорректировать, чтобы избежать гиперкальциемии в соответствии с биохимическими показателями. Они включают уровни кальция в плазме (идеально скорректированные на </w:t>
      </w:r>
      <w:r w:rsidRPr="000C0511">
        <w:rPr>
          <w:rFonts w:ascii="Times New Roman" w:eastAsia="Times New Roman" w:hAnsi="Times New Roman"/>
          <w:sz w:val="28"/>
          <w:szCs w:val="28"/>
          <w:lang w:eastAsia="ru-RU"/>
        </w:rPr>
        <w:lastRenderedPageBreak/>
        <w:t>связывание с белками), щелочной фосфатазы, паратиреоидного гормона, а также рентгенологические и гистологические исследования.</w:t>
      </w:r>
    </w:p>
    <w:p w14:paraId="7C720A61"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Начинать лечение рекомендуется с минимальных указанных доз, контролируя 1 раз в неделю уровень кальция и фосфора в плазме крови. Дозу препарата можно повышать на 0,25-0,5 мкг/сут до стабилизации биохимических показателей. При достижении минимальной эффективной дозы рекомендуется контролировать уровень кальция в плазме крови каждые 2-4 недели.</w:t>
      </w:r>
    </w:p>
    <w:p w14:paraId="3E05387B"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Большинство взрослых пациентов реагируют на дозу 1-3 мкг/сут. При наличии биохимических или рентгенологических признаков заживления костей (и у пациентов с гипопаратиреозом, когда достигнут нормальный уровень кальция в плазме крови) дозу обычно снижают. Поддерживающие дозы обычно находятся в диапазоне 0,25-1 мкг/сут. Если возникает гиперкальциемия, следует прекратить прием Альфадола до тех пор, пока уровень кальция в плазме крови не вернется в норму (примерно через 1 неделю), а затем возобновить прием используя половину предыдущей дозы.</w:t>
      </w:r>
    </w:p>
    <w:p w14:paraId="6954894B" w14:textId="77777777" w:rsidR="005734F2" w:rsidRPr="000C0511" w:rsidRDefault="005734F2" w:rsidP="005734F2">
      <w:pPr>
        <w:spacing w:after="0" w:line="240" w:lineRule="auto"/>
        <w:jc w:val="both"/>
        <w:rPr>
          <w:rFonts w:ascii="Times New Roman" w:eastAsia="Times New Roman" w:hAnsi="Times New Roman"/>
          <w:i/>
          <w:iCs/>
          <w:sz w:val="28"/>
          <w:szCs w:val="28"/>
          <w:lang w:eastAsia="ru-RU"/>
        </w:rPr>
      </w:pPr>
      <w:r w:rsidRPr="000C0511">
        <w:rPr>
          <w:rFonts w:ascii="Times New Roman" w:eastAsia="Times New Roman" w:hAnsi="Times New Roman"/>
          <w:i/>
          <w:iCs/>
          <w:sz w:val="28"/>
          <w:szCs w:val="28"/>
          <w:lang w:eastAsia="ru-RU"/>
        </w:rPr>
        <w:t>Заболевания костей, связанные с почечной недостаточностью</w:t>
      </w:r>
    </w:p>
    <w:p w14:paraId="6B23EE71"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Пациенты с относительно высоким исходным уровнем кальция в плазме могут иметь автономный гиперпаратиреоз, часто не реагирующий на альфакальцидол. Могут быть показаны и другие терапевтические меры.</w:t>
      </w:r>
    </w:p>
    <w:p w14:paraId="5C7F49FA"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До и во время лечения альфакальцидолом следует рассмотреть возможность применения фосфатсвязывающих средств для предотвращения гиперфосфатемии. Особенно важно часто измерять уровень кальция в плазме крови у пациентов с хронической почечной недостаточностью, поскольку длительная гиперкальциемия может усугубить снижение функции почек.</w:t>
      </w:r>
    </w:p>
    <w:p w14:paraId="1A45EF70" w14:textId="77777777" w:rsidR="005734F2" w:rsidRPr="000C0511" w:rsidRDefault="005734F2" w:rsidP="005734F2">
      <w:pPr>
        <w:spacing w:after="0" w:line="240" w:lineRule="auto"/>
        <w:jc w:val="both"/>
        <w:rPr>
          <w:rFonts w:ascii="Times New Roman" w:eastAsia="Times New Roman" w:hAnsi="Times New Roman"/>
          <w:i/>
          <w:iCs/>
          <w:sz w:val="28"/>
          <w:szCs w:val="28"/>
          <w:lang w:eastAsia="ru-RU"/>
        </w:rPr>
      </w:pPr>
      <w:r w:rsidRPr="000C0511">
        <w:rPr>
          <w:rFonts w:ascii="Times New Roman" w:eastAsia="Times New Roman" w:hAnsi="Times New Roman"/>
          <w:i/>
          <w:iCs/>
          <w:sz w:val="28"/>
          <w:szCs w:val="28"/>
          <w:lang w:eastAsia="ru-RU"/>
        </w:rPr>
        <w:t>Гиперпаратиреоз</w:t>
      </w:r>
    </w:p>
    <w:p w14:paraId="07FF5995"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У пациентов с первичным или третичным гиперпаратиреозом, которым предстоит паратиреоидэктомия, предоперационное лечение альфакальцидолом в течение 2-3 недель облегчает боль в костях и миопатию, не усугубляя предоперационную гиперкальциемию. Чтобы уменьшить послеоперационную гипокальциемию, следует продолжать прием препарата Альфадол до тех пор, пока уровень щелочной фосфатазы в плазме не снизится до нормы или не возникнет гиперкальциемия.</w:t>
      </w:r>
    </w:p>
    <w:p w14:paraId="6A1C5DF3" w14:textId="77777777" w:rsidR="005734F2" w:rsidRPr="000C0511" w:rsidRDefault="005734F2" w:rsidP="005734F2">
      <w:pPr>
        <w:spacing w:after="0" w:line="240" w:lineRule="auto"/>
        <w:jc w:val="both"/>
        <w:rPr>
          <w:rFonts w:ascii="Times New Roman" w:eastAsia="Times New Roman" w:hAnsi="Times New Roman"/>
          <w:i/>
          <w:iCs/>
          <w:sz w:val="28"/>
          <w:szCs w:val="28"/>
          <w:lang w:eastAsia="ru-RU"/>
        </w:rPr>
      </w:pPr>
      <w:r w:rsidRPr="000C0511">
        <w:rPr>
          <w:rFonts w:ascii="Times New Roman" w:eastAsia="Times New Roman" w:hAnsi="Times New Roman"/>
          <w:i/>
          <w:iCs/>
          <w:sz w:val="28"/>
          <w:szCs w:val="28"/>
          <w:lang w:eastAsia="ru-RU"/>
        </w:rPr>
        <w:t>Гипопаратиреоз</w:t>
      </w:r>
    </w:p>
    <w:p w14:paraId="5D4D35A7"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В отличие от реакции на нативный витамин D, низкий уровень кальция в плазме восстанавливается до нормального уровня относительно быстро с помощью препарата Альфадола. Тяжелая гипокальциемия корригируется быстрее с помощью более высоких доз Альфадола (например, 3-5 мкг) вместе с добавками кальция.</w:t>
      </w:r>
    </w:p>
    <w:p w14:paraId="7610239A" w14:textId="77777777" w:rsidR="005734F2" w:rsidRPr="000C0511" w:rsidRDefault="005734F2" w:rsidP="005734F2">
      <w:pPr>
        <w:spacing w:after="0" w:line="240" w:lineRule="auto"/>
        <w:jc w:val="both"/>
        <w:rPr>
          <w:rFonts w:ascii="Times New Roman" w:eastAsia="Times New Roman" w:hAnsi="Times New Roman"/>
          <w:i/>
          <w:iCs/>
          <w:sz w:val="28"/>
          <w:szCs w:val="28"/>
          <w:lang w:eastAsia="ru-RU"/>
        </w:rPr>
      </w:pPr>
      <w:bookmarkStart w:id="7" w:name="_Hlk74305668"/>
      <w:r w:rsidRPr="000C0511">
        <w:rPr>
          <w:rFonts w:ascii="Times New Roman" w:eastAsia="Times New Roman" w:hAnsi="Times New Roman"/>
          <w:i/>
          <w:iCs/>
          <w:sz w:val="28"/>
          <w:szCs w:val="28"/>
          <w:lang w:eastAsia="ru-RU"/>
        </w:rPr>
        <w:t xml:space="preserve">Рахит и остеомаляции, связанные с недостаточностью поступления витамина Д с пищей или нарушениями его всасывания в ЖКТ </w:t>
      </w:r>
    </w:p>
    <w:bookmarkEnd w:id="7"/>
    <w:p w14:paraId="6432C647"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lastRenderedPageBreak/>
        <w:t>Рахит и остеомаляции, связанные с недостаточностью поступления витамина Д с пищей или нарушениями его всасывания в ЖКТ, можно быстро вылечить с помощью препарата Альфадол. Остеомаляция мальабсорбции (реагирующая на большие дозы внутривенного или внутривенного нативного витамина D) будет реагировать на малые дозы Альфадола.</w:t>
      </w:r>
    </w:p>
    <w:p w14:paraId="0AED6B09" w14:textId="77777777" w:rsidR="005734F2" w:rsidRPr="000C0511" w:rsidRDefault="005734F2" w:rsidP="005734F2">
      <w:pPr>
        <w:spacing w:after="0" w:line="240" w:lineRule="auto"/>
        <w:jc w:val="both"/>
        <w:rPr>
          <w:rFonts w:ascii="Times New Roman" w:eastAsia="Times New Roman" w:hAnsi="Times New Roman"/>
          <w:i/>
          <w:iCs/>
          <w:sz w:val="28"/>
          <w:szCs w:val="28"/>
          <w:lang w:eastAsia="ru-RU"/>
        </w:rPr>
      </w:pPr>
      <w:r w:rsidRPr="000C0511">
        <w:rPr>
          <w:rFonts w:ascii="Times New Roman" w:eastAsia="Times New Roman" w:hAnsi="Times New Roman"/>
          <w:i/>
          <w:iCs/>
          <w:sz w:val="28"/>
          <w:szCs w:val="28"/>
          <w:lang w:eastAsia="ru-RU"/>
        </w:rPr>
        <w:t>Псевдодефицитный (витамин-Д-зависимый) рахит и остеомаляция</w:t>
      </w:r>
    </w:p>
    <w:p w14:paraId="512FF88F"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Хотя потребуются большие дозы нативного витамина D, эффективные дозы Альфадола аналогичны тем, которые требуются для лечения рахита с дефицитом витамина D и остеомаляции.</w:t>
      </w:r>
    </w:p>
    <w:p w14:paraId="385F59F2" w14:textId="77777777" w:rsidR="005734F2" w:rsidRPr="000C0511" w:rsidRDefault="005734F2" w:rsidP="005734F2">
      <w:pPr>
        <w:spacing w:after="0" w:line="240" w:lineRule="auto"/>
        <w:jc w:val="both"/>
        <w:rPr>
          <w:rFonts w:ascii="Times New Roman" w:eastAsia="Times New Roman" w:hAnsi="Times New Roman"/>
          <w:i/>
          <w:iCs/>
          <w:sz w:val="28"/>
          <w:szCs w:val="28"/>
          <w:lang w:eastAsia="ru-RU"/>
        </w:rPr>
      </w:pPr>
      <w:r w:rsidRPr="000C0511">
        <w:rPr>
          <w:rFonts w:ascii="Times New Roman" w:eastAsia="Times New Roman" w:hAnsi="Times New Roman"/>
          <w:i/>
          <w:iCs/>
          <w:sz w:val="28"/>
          <w:szCs w:val="28"/>
          <w:lang w:eastAsia="ru-RU"/>
        </w:rPr>
        <w:t>Гипофосфатемический витамин-Д-резистентный рахит и остеомаляция</w:t>
      </w:r>
    </w:p>
    <w:p w14:paraId="3D0A6424"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sz w:val="28"/>
          <w:szCs w:val="28"/>
          <w:lang w:eastAsia="ru-RU"/>
        </w:rPr>
        <w:t>Ни большие дозы нативного витамина D, ни фосфатные добавки не являются полностью удовлетворительными. Лечение препаратом Альфадол в нормальной дозировке быстро снимает миопатию, когда она присутствует, и увеличивает задержку кальция и фосфата. Некоторым пациентам также могут потребоваться фосфатные добавки.</w:t>
      </w:r>
    </w:p>
    <w:p w14:paraId="52B0A101" w14:textId="77777777" w:rsidR="005734F2" w:rsidRPr="000C0511" w:rsidRDefault="005734F2" w:rsidP="005734F2">
      <w:pPr>
        <w:spacing w:after="0" w:line="240" w:lineRule="auto"/>
        <w:jc w:val="both"/>
        <w:rPr>
          <w:rFonts w:ascii="Times New Roman" w:hAnsi="Times New Roman"/>
          <w:sz w:val="28"/>
          <w:szCs w:val="28"/>
        </w:rPr>
      </w:pPr>
      <w:r w:rsidRPr="000C0511">
        <w:rPr>
          <w:rFonts w:ascii="Times New Roman" w:hAnsi="Times New Roman"/>
          <w:sz w:val="28"/>
          <w:szCs w:val="28"/>
        </w:rPr>
        <w:t>Длительность и курс лечения определяется врачом индивидуально и зависит от характера заболевания и эффективности терапии. В отдельных случаях препарат применяют в течение всей жизни.</w:t>
      </w:r>
    </w:p>
    <w:p w14:paraId="5D1D7ABA"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eastAsia="Times New Roman" w:hAnsi="Times New Roman"/>
          <w:b/>
          <w:sz w:val="28"/>
          <w:szCs w:val="28"/>
          <w:lang w:eastAsia="ru-RU"/>
        </w:rPr>
        <w:t>Метод и путь введения</w:t>
      </w:r>
    </w:p>
    <w:p w14:paraId="4EFA29D4"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bookmarkStart w:id="8" w:name="_Hlk63418322"/>
      <w:r w:rsidRPr="000C0511">
        <w:rPr>
          <w:rFonts w:ascii="Times New Roman" w:eastAsia="Times New Roman" w:hAnsi="Times New Roman"/>
          <w:sz w:val="28"/>
          <w:szCs w:val="28"/>
          <w:lang w:eastAsia="ru-RU"/>
        </w:rPr>
        <w:t>Препарат применяют внутрь.</w:t>
      </w:r>
    </w:p>
    <w:bookmarkEnd w:id="8"/>
    <w:p w14:paraId="6E23984F" w14:textId="77777777" w:rsidR="005C4B12" w:rsidRPr="000C0511" w:rsidRDefault="00DB406A" w:rsidP="00844CE8">
      <w:pPr>
        <w:spacing w:after="0" w:line="240" w:lineRule="auto"/>
        <w:jc w:val="both"/>
        <w:rPr>
          <w:rFonts w:ascii="Times New Roman" w:hAnsi="Times New Roman"/>
          <w:i/>
          <w:sz w:val="28"/>
          <w:szCs w:val="28"/>
        </w:rPr>
      </w:pPr>
      <w:r w:rsidRPr="000C0511">
        <w:rPr>
          <w:rFonts w:ascii="Times New Roman" w:eastAsia="Times New Roman" w:hAnsi="Times New Roman"/>
          <w:b/>
          <w:i/>
          <w:sz w:val="28"/>
          <w:szCs w:val="28"/>
          <w:lang w:eastAsia="ru-RU"/>
        </w:rPr>
        <w:t>Меры, которые необходимо принять в случае передозировки</w:t>
      </w:r>
      <w:r w:rsidRPr="000C0511">
        <w:rPr>
          <w:rFonts w:ascii="Times New Roman" w:hAnsi="Times New Roman"/>
          <w:i/>
          <w:sz w:val="28"/>
          <w:szCs w:val="28"/>
        </w:rPr>
        <w:t xml:space="preserve"> </w:t>
      </w:r>
    </w:p>
    <w:p w14:paraId="6696F6EC" w14:textId="77777777" w:rsidR="005734F2" w:rsidRPr="000C0511" w:rsidRDefault="005734F2" w:rsidP="005734F2">
      <w:pPr>
        <w:spacing w:after="0" w:line="240" w:lineRule="auto"/>
        <w:jc w:val="both"/>
        <w:rPr>
          <w:rFonts w:ascii="Times New Roman" w:eastAsia="Times New Roman" w:hAnsi="Times New Roman"/>
          <w:sz w:val="28"/>
          <w:szCs w:val="28"/>
          <w:highlight w:val="yellow"/>
          <w:lang w:eastAsia="ru-RU"/>
        </w:rPr>
      </w:pPr>
      <w:bookmarkStart w:id="9" w:name="2175220280"/>
      <w:bookmarkEnd w:id="6"/>
      <w:r w:rsidRPr="000C0511">
        <w:rPr>
          <w:rFonts w:ascii="Times New Roman" w:eastAsia="Times New Roman" w:hAnsi="Times New Roman"/>
          <w:sz w:val="28"/>
          <w:szCs w:val="28"/>
          <w:lang w:eastAsia="ru-RU"/>
        </w:rPr>
        <w:t xml:space="preserve">Чрезмерный приём витамина Д ведёт к развитию гиперкальциемии. Однако при отмене препарата эффект быстро меняется на противоположный. </w:t>
      </w:r>
    </w:p>
    <w:p w14:paraId="488BAF0C" w14:textId="77777777" w:rsidR="005734F2" w:rsidRPr="000C0511" w:rsidRDefault="005734F2" w:rsidP="005734F2">
      <w:pPr>
        <w:spacing w:after="0" w:line="240" w:lineRule="auto"/>
        <w:jc w:val="both"/>
        <w:rPr>
          <w:rFonts w:ascii="Times New Roman" w:eastAsia="Times New Roman" w:hAnsi="Times New Roman"/>
          <w:sz w:val="28"/>
          <w:szCs w:val="28"/>
          <w:lang w:eastAsia="ru-RU"/>
        </w:rPr>
      </w:pPr>
      <w:r w:rsidRPr="000C0511">
        <w:rPr>
          <w:rFonts w:ascii="Times New Roman" w:hAnsi="Times New Roman"/>
          <w:color w:val="000000"/>
          <w:sz w:val="28"/>
          <w:szCs w:val="28"/>
        </w:rPr>
        <w:t xml:space="preserve">Лечение: </w:t>
      </w:r>
      <w:r w:rsidRPr="000C0511">
        <w:rPr>
          <w:rFonts w:ascii="Times New Roman" w:eastAsia="Times New Roman" w:hAnsi="Times New Roman"/>
          <w:sz w:val="28"/>
          <w:szCs w:val="28"/>
          <w:lang w:eastAsia="ru-RU"/>
        </w:rPr>
        <w:t xml:space="preserve">общие поддерживающие мероприятия – гидратации с введением инфузионных солевых растворов (с целью форсированного диуреза), в некоторых случая – назначение глюкокортикостероидных препаратов, петлевых диуретиков, бисфосфонатов, кальцитонина, перитонеального диализа или гемодиализа с примененим диализата, не содержащего кальций. Обязателен контроль содержания электролитов в сыворотке крови (особенно кальция), функции почек и состоянии сердца (по данным электрокардиограммы), особенно у пациентов, принимающих препараты наперстянки. </w:t>
      </w:r>
    </w:p>
    <w:p w14:paraId="31C74E1B" w14:textId="77777777" w:rsidR="005C4B12" w:rsidRPr="00844CE8" w:rsidRDefault="005C4B12" w:rsidP="00844CE8">
      <w:pPr>
        <w:spacing w:after="0" w:line="240" w:lineRule="auto"/>
        <w:jc w:val="both"/>
        <w:rPr>
          <w:rFonts w:ascii="Times New Roman" w:eastAsia="Times New Roman" w:hAnsi="Times New Roman"/>
          <w:b/>
          <w:i/>
          <w:sz w:val="28"/>
          <w:szCs w:val="28"/>
          <w:lang w:eastAsia="ru-RU"/>
        </w:rPr>
      </w:pPr>
      <w:r w:rsidRPr="000C0511">
        <w:rPr>
          <w:rFonts w:ascii="Times New Roman" w:hAnsi="Times New Roman"/>
          <w:b/>
          <w:i/>
          <w:color w:val="000000"/>
          <w:sz w:val="28"/>
          <w:szCs w:val="28"/>
        </w:rPr>
        <w:t>Рекоме</w:t>
      </w:r>
      <w:r w:rsidRPr="00844CE8">
        <w:rPr>
          <w:rFonts w:ascii="Times New Roman" w:hAnsi="Times New Roman"/>
          <w:b/>
          <w:i/>
          <w:color w:val="000000"/>
          <w:sz w:val="28"/>
          <w:szCs w:val="28"/>
        </w:rPr>
        <w:t>нд</w:t>
      </w:r>
      <w:r w:rsidR="008C2B48">
        <w:rPr>
          <w:rFonts w:ascii="Times New Roman" w:hAnsi="Times New Roman"/>
          <w:b/>
          <w:i/>
          <w:color w:val="000000"/>
          <w:sz w:val="28"/>
          <w:szCs w:val="28"/>
        </w:rPr>
        <w:t xml:space="preserve">уется </w:t>
      </w:r>
      <w:r w:rsidRPr="00844CE8">
        <w:rPr>
          <w:rFonts w:ascii="Times New Roman" w:hAnsi="Times New Roman"/>
          <w:b/>
          <w:i/>
          <w:color w:val="000000"/>
          <w:sz w:val="28"/>
          <w:szCs w:val="28"/>
        </w:rPr>
        <w:t>обр</w:t>
      </w:r>
      <w:r w:rsidR="008C2B48">
        <w:rPr>
          <w:rFonts w:ascii="Times New Roman" w:hAnsi="Times New Roman"/>
          <w:b/>
          <w:i/>
          <w:color w:val="000000"/>
          <w:sz w:val="28"/>
          <w:szCs w:val="28"/>
        </w:rPr>
        <w:t>атиться</w:t>
      </w:r>
      <w:r w:rsidRPr="00844CE8">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препарата</w:t>
      </w:r>
      <w:r w:rsidR="008C2B48">
        <w:rPr>
          <w:rFonts w:ascii="Times New Roman" w:hAnsi="Times New Roman"/>
          <w:b/>
          <w:i/>
          <w:color w:val="000000"/>
          <w:sz w:val="28"/>
          <w:szCs w:val="28"/>
        </w:rPr>
        <w:t>.</w:t>
      </w:r>
    </w:p>
    <w:bookmarkEnd w:id="9"/>
    <w:p w14:paraId="460C271E" w14:textId="77777777" w:rsidR="00A12563" w:rsidRPr="00844CE8" w:rsidRDefault="00A12563" w:rsidP="00844CE8">
      <w:pPr>
        <w:spacing w:after="0" w:line="240" w:lineRule="auto"/>
        <w:jc w:val="both"/>
        <w:rPr>
          <w:rFonts w:ascii="Times New Roman" w:eastAsia="Times New Roman" w:hAnsi="Times New Roman"/>
          <w:b/>
          <w:sz w:val="28"/>
          <w:szCs w:val="28"/>
          <w:lang w:eastAsia="ru-RU"/>
        </w:rPr>
      </w:pPr>
    </w:p>
    <w:p w14:paraId="5B458469" w14:textId="77777777" w:rsidR="001937AD" w:rsidRDefault="001937AD" w:rsidP="00844CE8">
      <w:pPr>
        <w:spacing w:after="0" w:line="240" w:lineRule="auto"/>
        <w:jc w:val="both"/>
        <w:rPr>
          <w:rFonts w:ascii="Times New Roman" w:hAnsi="Times New Roman"/>
          <w:b/>
          <w:color w:val="000000"/>
          <w:sz w:val="28"/>
          <w:szCs w:val="28"/>
        </w:rPr>
      </w:pPr>
      <w:bookmarkStart w:id="10" w:name="2175220282"/>
      <w:r w:rsidRPr="00844CE8">
        <w:rPr>
          <w:rFonts w:ascii="Times New Roman" w:eastAsia="Times New Roman" w:hAnsi="Times New Roman"/>
          <w:b/>
          <w:sz w:val="28"/>
          <w:szCs w:val="28"/>
          <w:lang w:eastAsia="ru-RU"/>
        </w:rPr>
        <w:t>Описание нежелательных реакций</w:t>
      </w:r>
      <w:r w:rsidR="005C4B12" w:rsidRPr="00844CE8">
        <w:rPr>
          <w:rFonts w:ascii="Times New Roman" w:eastAsia="Times New Roman" w:hAnsi="Times New Roman"/>
          <w:b/>
          <w:sz w:val="28"/>
          <w:szCs w:val="28"/>
          <w:lang w:eastAsia="ru-RU"/>
        </w:rPr>
        <w:t xml:space="preserve">, </w:t>
      </w:r>
      <w:r w:rsidRPr="00844CE8">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10"/>
    <w:p w14:paraId="14F59A2C" w14:textId="77777777" w:rsidR="005734F2" w:rsidRPr="00CE38CA" w:rsidRDefault="005734F2" w:rsidP="005734F2">
      <w:pPr>
        <w:spacing w:after="0" w:line="240" w:lineRule="auto"/>
        <w:jc w:val="both"/>
        <w:rPr>
          <w:rFonts w:ascii="Times New Roman" w:hAnsi="Times New Roman"/>
          <w:iCs/>
          <w:sz w:val="28"/>
          <w:szCs w:val="28"/>
        </w:rPr>
      </w:pPr>
      <w:r w:rsidRPr="00CE38CA">
        <w:rPr>
          <w:rFonts w:ascii="Times New Roman" w:hAnsi="Times New Roman"/>
          <w:iCs/>
          <w:sz w:val="28"/>
          <w:szCs w:val="28"/>
        </w:rPr>
        <w:t>Оценка частоты нежелательных эффектов основана на объединенном анализе данных клинических исследований и спонтанных сообщений.</w:t>
      </w:r>
    </w:p>
    <w:p w14:paraId="2D283E49" w14:textId="77777777" w:rsidR="005734F2" w:rsidRPr="00CE38CA" w:rsidRDefault="005734F2" w:rsidP="005734F2">
      <w:pPr>
        <w:spacing w:after="0" w:line="240" w:lineRule="auto"/>
        <w:jc w:val="both"/>
        <w:rPr>
          <w:rFonts w:ascii="Times New Roman" w:hAnsi="Times New Roman"/>
          <w:iCs/>
          <w:sz w:val="28"/>
          <w:szCs w:val="28"/>
        </w:rPr>
      </w:pPr>
      <w:r w:rsidRPr="00CE38CA">
        <w:rPr>
          <w:rFonts w:ascii="Times New Roman" w:hAnsi="Times New Roman"/>
          <w:iCs/>
          <w:sz w:val="28"/>
          <w:szCs w:val="28"/>
        </w:rPr>
        <w:lastRenderedPageBreak/>
        <w:t>Наиболее часто сообщаемыми нежелательными эффектами являются различные кожные реакции, такие как зуд и сыпь, гиперкальциемия, желудочно-кишечная боль/дискомфорт и гиперфосфатемия.</w:t>
      </w:r>
    </w:p>
    <w:p w14:paraId="7BEA481D" w14:textId="77777777" w:rsidR="005734F2" w:rsidRPr="00CE38CA" w:rsidRDefault="005734F2" w:rsidP="005734F2">
      <w:pPr>
        <w:spacing w:after="0" w:line="240" w:lineRule="auto"/>
        <w:jc w:val="both"/>
        <w:rPr>
          <w:rFonts w:ascii="Times New Roman" w:hAnsi="Times New Roman"/>
          <w:iCs/>
          <w:sz w:val="28"/>
          <w:szCs w:val="28"/>
        </w:rPr>
      </w:pPr>
      <w:bookmarkStart w:id="11" w:name="_Hlk63419720"/>
      <w:r w:rsidRPr="00CE38CA">
        <w:rPr>
          <w:rFonts w:ascii="Times New Roman" w:hAnsi="Times New Roman"/>
          <w:i/>
          <w:sz w:val="28"/>
          <w:szCs w:val="28"/>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w:t>
      </w:r>
      <w:r w:rsidRPr="00CE38CA">
        <w:rPr>
          <w:rFonts w:ascii="Times New Roman" w:hAnsi="Times New Roman"/>
          <w:iCs/>
          <w:sz w:val="28"/>
          <w:szCs w:val="28"/>
        </w:rPr>
        <w:t>Нарушения со стороны обмена веществ и питания</w:t>
      </w:r>
    </w:p>
    <w:bookmarkEnd w:id="11"/>
    <w:p w14:paraId="65DD7951"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Часто</w:t>
      </w:r>
    </w:p>
    <w:p w14:paraId="7C841122"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гиперкальцемия, гиперфосфатемия</w:t>
      </w:r>
    </w:p>
    <w:p w14:paraId="71923717" w14:textId="77777777" w:rsidR="005734F2" w:rsidRPr="00CE38CA" w:rsidRDefault="005734F2" w:rsidP="005734F2">
      <w:pPr>
        <w:spacing w:after="0" w:line="240" w:lineRule="auto"/>
        <w:jc w:val="both"/>
        <w:rPr>
          <w:rFonts w:ascii="Times New Roman" w:hAnsi="Times New Roman"/>
          <w:iCs/>
          <w:sz w:val="28"/>
          <w:szCs w:val="28"/>
        </w:rPr>
      </w:pPr>
      <w:r w:rsidRPr="00CE38CA">
        <w:rPr>
          <w:rFonts w:ascii="Times New Roman" w:hAnsi="Times New Roman"/>
          <w:iCs/>
          <w:sz w:val="28"/>
          <w:szCs w:val="28"/>
        </w:rPr>
        <w:t>Нарушения психики</w:t>
      </w:r>
    </w:p>
    <w:p w14:paraId="1158635F"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Неизвестно</w:t>
      </w:r>
    </w:p>
    <w:p w14:paraId="06E8EA4A"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спутанность сознания</w:t>
      </w:r>
    </w:p>
    <w:p w14:paraId="3070C3E5" w14:textId="77777777" w:rsidR="005734F2" w:rsidRPr="00CE38CA" w:rsidRDefault="005734F2" w:rsidP="005734F2">
      <w:pPr>
        <w:tabs>
          <w:tab w:val="left" w:pos="8931"/>
        </w:tabs>
        <w:spacing w:after="0" w:line="240" w:lineRule="auto"/>
        <w:jc w:val="both"/>
        <w:rPr>
          <w:rFonts w:ascii="Times New Roman" w:hAnsi="Times New Roman"/>
          <w:sz w:val="28"/>
          <w:szCs w:val="28"/>
          <w:lang w:val="kk-KZ"/>
        </w:rPr>
      </w:pPr>
      <w:r w:rsidRPr="00CE38CA">
        <w:rPr>
          <w:rFonts w:ascii="Times New Roman" w:hAnsi="Times New Roman"/>
          <w:sz w:val="28"/>
          <w:szCs w:val="28"/>
          <w:lang w:val="kk-KZ"/>
        </w:rPr>
        <w:t>Нарушения со стороны нервной системы</w:t>
      </w:r>
    </w:p>
    <w:p w14:paraId="7117E5B4"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Нечасто</w:t>
      </w:r>
    </w:p>
    <w:p w14:paraId="3CD42F77"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головная боль</w:t>
      </w:r>
    </w:p>
    <w:p w14:paraId="332DB27C"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Редко</w:t>
      </w:r>
    </w:p>
    <w:p w14:paraId="7B25191B"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головокружение</w:t>
      </w:r>
    </w:p>
    <w:p w14:paraId="59412DBF" w14:textId="77777777" w:rsidR="005734F2" w:rsidRPr="00CE38CA" w:rsidRDefault="005734F2" w:rsidP="005734F2">
      <w:pPr>
        <w:tabs>
          <w:tab w:val="left" w:pos="8931"/>
        </w:tabs>
        <w:spacing w:after="0" w:line="240" w:lineRule="auto"/>
        <w:jc w:val="both"/>
        <w:rPr>
          <w:rFonts w:ascii="Times New Roman" w:hAnsi="Times New Roman"/>
          <w:sz w:val="28"/>
          <w:szCs w:val="28"/>
        </w:rPr>
      </w:pPr>
      <w:r w:rsidRPr="00CE38CA">
        <w:rPr>
          <w:rFonts w:ascii="Times New Roman" w:hAnsi="Times New Roman"/>
          <w:sz w:val="28"/>
          <w:szCs w:val="28"/>
        </w:rPr>
        <w:t>Нарушения со стороны желудочно-кишечного тракта</w:t>
      </w:r>
    </w:p>
    <w:p w14:paraId="3484EBDA"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Часто</w:t>
      </w:r>
    </w:p>
    <w:p w14:paraId="6A58E083"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боль в животе и дискомфорт</w:t>
      </w:r>
    </w:p>
    <w:p w14:paraId="6EA9E504"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Нечасто</w:t>
      </w:r>
    </w:p>
    <w:p w14:paraId="06C3CC15"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понос, рвота, запор, тошнота</w:t>
      </w:r>
    </w:p>
    <w:p w14:paraId="2078FE66" w14:textId="77777777" w:rsidR="005734F2" w:rsidRPr="00CE38CA" w:rsidRDefault="005734F2" w:rsidP="005734F2">
      <w:pPr>
        <w:tabs>
          <w:tab w:val="left" w:pos="8931"/>
        </w:tabs>
        <w:spacing w:after="0" w:line="240" w:lineRule="auto"/>
        <w:jc w:val="both"/>
        <w:rPr>
          <w:rFonts w:ascii="Times New Roman" w:hAnsi="Times New Roman"/>
          <w:sz w:val="28"/>
          <w:szCs w:val="28"/>
          <w:lang w:val="kk-KZ"/>
        </w:rPr>
      </w:pPr>
      <w:r w:rsidRPr="00CE38CA">
        <w:rPr>
          <w:rFonts w:ascii="Times New Roman" w:hAnsi="Times New Roman"/>
          <w:sz w:val="28"/>
          <w:szCs w:val="28"/>
          <w:lang w:val="kk-KZ"/>
        </w:rPr>
        <w:t>Нарушения со стороны кожи и подкожных тканей</w:t>
      </w:r>
    </w:p>
    <w:p w14:paraId="5CC44E71"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Часто</w:t>
      </w:r>
    </w:p>
    <w:p w14:paraId="72023883"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сыпь, зуд</w:t>
      </w:r>
    </w:p>
    <w:p w14:paraId="5A3EF645"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Нечасто</w:t>
      </w:r>
    </w:p>
    <w:p w14:paraId="3C7A987F"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крапивница</w:t>
      </w:r>
    </w:p>
    <w:p w14:paraId="46391B66" w14:textId="77777777" w:rsidR="005734F2" w:rsidRPr="00CE38CA" w:rsidRDefault="005734F2" w:rsidP="005734F2">
      <w:pPr>
        <w:spacing w:after="0" w:line="240" w:lineRule="auto"/>
        <w:jc w:val="both"/>
        <w:rPr>
          <w:rFonts w:ascii="Times New Roman" w:hAnsi="Times New Roman"/>
          <w:sz w:val="28"/>
          <w:szCs w:val="28"/>
        </w:rPr>
      </w:pPr>
      <w:bookmarkStart w:id="12" w:name="_Hlk63420076"/>
      <w:r w:rsidRPr="00CE38CA">
        <w:rPr>
          <w:rFonts w:ascii="Times New Roman" w:hAnsi="Times New Roman"/>
          <w:sz w:val="28"/>
          <w:szCs w:val="28"/>
        </w:rPr>
        <w:t>Нарушения со стороны скелетно-мышечной и соединительной ткани</w:t>
      </w:r>
    </w:p>
    <w:bookmarkEnd w:id="12"/>
    <w:p w14:paraId="17DCFB0A"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Нечасто</w:t>
      </w:r>
    </w:p>
    <w:p w14:paraId="13976017"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миалгия</w:t>
      </w:r>
    </w:p>
    <w:p w14:paraId="314E0156" w14:textId="77777777" w:rsidR="005734F2" w:rsidRPr="00CE38CA" w:rsidRDefault="005734F2" w:rsidP="005734F2">
      <w:pPr>
        <w:spacing w:after="0" w:line="240" w:lineRule="auto"/>
        <w:jc w:val="both"/>
        <w:rPr>
          <w:rFonts w:ascii="Times New Roman" w:hAnsi="Times New Roman"/>
          <w:sz w:val="28"/>
          <w:szCs w:val="28"/>
        </w:rPr>
      </w:pPr>
      <w:bookmarkStart w:id="13" w:name="_Hlk63420161"/>
      <w:r w:rsidRPr="00CE38CA">
        <w:rPr>
          <w:rFonts w:ascii="Times New Roman" w:hAnsi="Times New Roman"/>
          <w:sz w:val="28"/>
          <w:szCs w:val="28"/>
        </w:rPr>
        <w:t>Нарушения со стороны почек и мочевыводящих путей</w:t>
      </w:r>
    </w:p>
    <w:bookmarkEnd w:id="13"/>
    <w:p w14:paraId="189615D0"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Часто</w:t>
      </w:r>
    </w:p>
    <w:p w14:paraId="50CF90AC"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гиперкальциурия</w:t>
      </w:r>
    </w:p>
    <w:p w14:paraId="45EDF498"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Нечасто</w:t>
      </w:r>
    </w:p>
    <w:p w14:paraId="54CD4A74"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нефролитиаз/нефрокальциноз</w:t>
      </w:r>
    </w:p>
    <w:p w14:paraId="62AE18CF" w14:textId="77777777" w:rsidR="005734F2" w:rsidRPr="00CE38CA" w:rsidRDefault="005734F2" w:rsidP="005734F2">
      <w:pPr>
        <w:spacing w:after="0" w:line="240" w:lineRule="auto"/>
        <w:jc w:val="both"/>
        <w:rPr>
          <w:rFonts w:ascii="Times New Roman" w:hAnsi="Times New Roman"/>
          <w:i/>
          <w:sz w:val="28"/>
          <w:szCs w:val="28"/>
        </w:rPr>
      </w:pPr>
      <w:r w:rsidRPr="00CE38CA">
        <w:rPr>
          <w:rFonts w:ascii="Times New Roman" w:hAnsi="Times New Roman"/>
          <w:i/>
          <w:sz w:val="28"/>
          <w:szCs w:val="28"/>
        </w:rPr>
        <w:t>Неизвестно</w:t>
      </w:r>
    </w:p>
    <w:p w14:paraId="4BFAA0C7"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почечная недостаточность (включая острую почечную недостаточность)</w:t>
      </w:r>
    </w:p>
    <w:p w14:paraId="68F6DB7D" w14:textId="77777777" w:rsidR="005734F2" w:rsidRPr="00CE38CA" w:rsidRDefault="005734F2" w:rsidP="005734F2">
      <w:pPr>
        <w:tabs>
          <w:tab w:val="left" w:pos="8931"/>
        </w:tabs>
        <w:spacing w:after="0" w:line="240" w:lineRule="auto"/>
        <w:jc w:val="both"/>
        <w:rPr>
          <w:rFonts w:ascii="Times New Roman" w:hAnsi="Times New Roman"/>
          <w:sz w:val="28"/>
          <w:szCs w:val="28"/>
          <w:lang w:val="kk-KZ"/>
        </w:rPr>
      </w:pPr>
      <w:r w:rsidRPr="00CE38CA">
        <w:rPr>
          <w:rFonts w:ascii="Times New Roman" w:hAnsi="Times New Roman"/>
          <w:sz w:val="28"/>
          <w:szCs w:val="28"/>
          <w:lang w:val="kk-KZ"/>
        </w:rPr>
        <w:t>Общие расстройства и реакции в месте введения</w:t>
      </w:r>
    </w:p>
    <w:p w14:paraId="614F4B83"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i/>
          <w:sz w:val="28"/>
          <w:szCs w:val="28"/>
        </w:rPr>
        <w:t>Нечасто</w:t>
      </w:r>
    </w:p>
    <w:p w14:paraId="3A10B928" w14:textId="77777777" w:rsidR="005734F2" w:rsidRPr="00CE38CA" w:rsidRDefault="005734F2" w:rsidP="005734F2">
      <w:pPr>
        <w:spacing w:after="0" w:line="240" w:lineRule="auto"/>
        <w:jc w:val="both"/>
        <w:rPr>
          <w:rFonts w:ascii="Times New Roman" w:hAnsi="Times New Roman"/>
          <w:sz w:val="28"/>
          <w:szCs w:val="28"/>
        </w:rPr>
      </w:pPr>
      <w:r w:rsidRPr="00CE38CA">
        <w:rPr>
          <w:rFonts w:ascii="Times New Roman" w:hAnsi="Times New Roman"/>
          <w:sz w:val="28"/>
          <w:szCs w:val="28"/>
        </w:rPr>
        <w:t>- усталость/ астения/ дискомфорт, кальциноз</w:t>
      </w:r>
    </w:p>
    <w:p w14:paraId="2E9C01D5" w14:textId="77777777" w:rsidR="007C3782" w:rsidRPr="00CE38CA" w:rsidRDefault="007C3782" w:rsidP="00A05960">
      <w:pPr>
        <w:pStyle w:val="ac"/>
        <w:jc w:val="both"/>
        <w:rPr>
          <w:rFonts w:ascii="Times New Roman" w:eastAsia="Times New Roman" w:hAnsi="Times New Roman"/>
          <w:sz w:val="28"/>
          <w:szCs w:val="28"/>
          <w:lang w:eastAsia="ru-RU"/>
        </w:rPr>
      </w:pPr>
    </w:p>
    <w:p w14:paraId="31FF1B1A" w14:textId="77777777" w:rsidR="00827BB2" w:rsidRPr="00CE38CA" w:rsidRDefault="00827BB2" w:rsidP="00844CE8">
      <w:pPr>
        <w:pStyle w:val="ac"/>
        <w:jc w:val="both"/>
        <w:rPr>
          <w:rFonts w:ascii="Times New Roman" w:hAnsi="Times New Roman"/>
          <w:i/>
          <w:color w:val="000000"/>
          <w:sz w:val="28"/>
          <w:szCs w:val="28"/>
        </w:rPr>
      </w:pPr>
      <w:r w:rsidRPr="00CE38CA">
        <w:rPr>
          <w:rFonts w:ascii="Times New Roman" w:hAnsi="Times New Roman"/>
          <w:b/>
          <w:color w:val="000000"/>
          <w:sz w:val="28"/>
          <w:szCs w:val="28"/>
        </w:rPr>
        <w:t>П</w:t>
      </w:r>
      <w:r w:rsidR="00D93C80" w:rsidRPr="00CE38CA">
        <w:rPr>
          <w:rFonts w:ascii="Times New Roman" w:hAnsi="Times New Roman"/>
          <w:b/>
          <w:color w:val="000000"/>
          <w:sz w:val="28"/>
          <w:szCs w:val="28"/>
        </w:rPr>
        <w:t xml:space="preserve">ри возникновении </w:t>
      </w:r>
      <w:r w:rsidR="006703A5" w:rsidRPr="00CE38CA">
        <w:rPr>
          <w:rFonts w:ascii="Times New Roman" w:hAnsi="Times New Roman"/>
          <w:b/>
          <w:color w:val="000000"/>
          <w:sz w:val="28"/>
          <w:szCs w:val="28"/>
        </w:rPr>
        <w:t>нежелательных</w:t>
      </w:r>
      <w:r w:rsidR="00D93C80" w:rsidRPr="00CE38CA">
        <w:rPr>
          <w:rFonts w:ascii="Times New Roman" w:hAnsi="Times New Roman"/>
          <w:b/>
          <w:color w:val="000000"/>
          <w:sz w:val="28"/>
          <w:szCs w:val="28"/>
        </w:rPr>
        <w:t xml:space="preserve"> лекарственных реакций обращаться к медицинскому работнику, фармацевтическому </w:t>
      </w:r>
      <w:r w:rsidR="00D93C80" w:rsidRPr="00CE38CA">
        <w:rPr>
          <w:rFonts w:ascii="Times New Roman" w:hAnsi="Times New Roman"/>
          <w:b/>
          <w:color w:val="000000"/>
          <w:sz w:val="28"/>
          <w:szCs w:val="28"/>
        </w:rPr>
        <w:lastRenderedPageBreak/>
        <w:t>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CE38CA">
        <w:rPr>
          <w:rFonts w:ascii="Times New Roman" w:hAnsi="Times New Roman"/>
          <w:b/>
          <w:color w:val="000000"/>
          <w:sz w:val="28"/>
          <w:szCs w:val="28"/>
        </w:rPr>
        <w:t xml:space="preserve"> </w:t>
      </w:r>
    </w:p>
    <w:p w14:paraId="22BF7C4E" w14:textId="77777777" w:rsidR="006703A5" w:rsidRPr="00CE38CA" w:rsidRDefault="006703A5" w:rsidP="005779DE">
      <w:pPr>
        <w:spacing w:after="0" w:line="240" w:lineRule="auto"/>
        <w:jc w:val="both"/>
        <w:rPr>
          <w:rFonts w:ascii="Times New Roman" w:hAnsi="Times New Roman"/>
          <w:sz w:val="28"/>
          <w:szCs w:val="28"/>
        </w:rPr>
      </w:pPr>
      <w:r w:rsidRPr="00CE38CA">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5779DE" w:rsidRPr="00CE38CA">
        <w:rPr>
          <w:rFonts w:ascii="Times New Roman" w:hAnsi="Times New Roman"/>
          <w:sz w:val="28"/>
          <w:szCs w:val="28"/>
        </w:rPr>
        <w:t xml:space="preserve">Комитет </w:t>
      </w:r>
      <w:r w:rsidR="006661C8" w:rsidRPr="00CE38CA">
        <w:rPr>
          <w:rFonts w:ascii="Times New Roman" w:hAnsi="Times New Roman"/>
          <w:sz w:val="28"/>
          <w:szCs w:val="28"/>
        </w:rPr>
        <w:t>медицинского и фармацевтического контроля</w:t>
      </w:r>
      <w:r w:rsidR="005779DE" w:rsidRPr="00CE38CA">
        <w:rPr>
          <w:rFonts w:ascii="Times New Roman" w:hAnsi="Times New Roman"/>
          <w:sz w:val="28"/>
          <w:szCs w:val="28"/>
        </w:rPr>
        <w:t xml:space="preserve"> </w:t>
      </w:r>
      <w:r w:rsidRPr="00CE38CA">
        <w:rPr>
          <w:rFonts w:ascii="Times New Roman" w:hAnsi="Times New Roman"/>
          <w:sz w:val="28"/>
          <w:szCs w:val="28"/>
        </w:rPr>
        <w:t>Министерства здравоохранения Республики Казахстан</w:t>
      </w:r>
    </w:p>
    <w:p w14:paraId="2710773B" w14:textId="77777777" w:rsidR="006703A5" w:rsidRPr="00CE38CA" w:rsidRDefault="002F45EE" w:rsidP="006703A5">
      <w:pPr>
        <w:keepNext/>
        <w:spacing w:after="0" w:line="240" w:lineRule="auto"/>
        <w:jc w:val="both"/>
        <w:rPr>
          <w:rFonts w:ascii="Times New Roman" w:hAnsi="Times New Roman"/>
          <w:sz w:val="28"/>
          <w:szCs w:val="28"/>
        </w:rPr>
      </w:pPr>
      <w:hyperlink r:id="rId8" w:history="1">
        <w:r w:rsidR="006703A5" w:rsidRPr="00CE38CA">
          <w:rPr>
            <w:rStyle w:val="af"/>
            <w:rFonts w:ascii="Times New Roman" w:hAnsi="Times New Roman"/>
            <w:sz w:val="28"/>
            <w:szCs w:val="28"/>
            <w:lang w:val="en-US"/>
          </w:rPr>
          <w:t>http</w:t>
        </w:r>
        <w:r w:rsidR="006703A5" w:rsidRPr="00CE38CA">
          <w:rPr>
            <w:rStyle w:val="af"/>
            <w:rFonts w:ascii="Times New Roman" w:hAnsi="Times New Roman"/>
            <w:sz w:val="28"/>
            <w:szCs w:val="28"/>
          </w:rPr>
          <w:t>://</w:t>
        </w:r>
        <w:r w:rsidR="006703A5" w:rsidRPr="00CE38CA">
          <w:rPr>
            <w:rStyle w:val="af"/>
            <w:rFonts w:ascii="Times New Roman" w:hAnsi="Times New Roman"/>
            <w:sz w:val="28"/>
            <w:szCs w:val="28"/>
            <w:lang w:val="en-US"/>
          </w:rPr>
          <w:t>www</w:t>
        </w:r>
        <w:r w:rsidR="006703A5" w:rsidRPr="00CE38CA">
          <w:rPr>
            <w:rStyle w:val="af"/>
            <w:rFonts w:ascii="Times New Roman" w:hAnsi="Times New Roman"/>
            <w:sz w:val="28"/>
            <w:szCs w:val="28"/>
          </w:rPr>
          <w:t>.</w:t>
        </w:r>
        <w:r w:rsidR="006703A5" w:rsidRPr="00CE38CA">
          <w:rPr>
            <w:rStyle w:val="af"/>
            <w:rFonts w:ascii="Times New Roman" w:hAnsi="Times New Roman"/>
            <w:sz w:val="28"/>
            <w:szCs w:val="28"/>
            <w:lang w:val="en-US"/>
          </w:rPr>
          <w:t>ndda</w:t>
        </w:r>
        <w:r w:rsidR="006703A5" w:rsidRPr="00CE38CA">
          <w:rPr>
            <w:rStyle w:val="af"/>
            <w:rFonts w:ascii="Times New Roman" w:hAnsi="Times New Roman"/>
            <w:sz w:val="28"/>
            <w:szCs w:val="28"/>
          </w:rPr>
          <w:t>.</w:t>
        </w:r>
        <w:r w:rsidR="006703A5" w:rsidRPr="00CE38CA">
          <w:rPr>
            <w:rStyle w:val="af"/>
            <w:rFonts w:ascii="Times New Roman" w:hAnsi="Times New Roman"/>
            <w:sz w:val="28"/>
            <w:szCs w:val="28"/>
            <w:lang w:val="en-US"/>
          </w:rPr>
          <w:t>kz</w:t>
        </w:r>
      </w:hyperlink>
    </w:p>
    <w:p w14:paraId="3DBAE36E" w14:textId="77777777" w:rsidR="006703A5" w:rsidRPr="00CE38CA" w:rsidRDefault="006703A5" w:rsidP="00844CE8">
      <w:pPr>
        <w:pStyle w:val="ac"/>
        <w:jc w:val="both"/>
        <w:rPr>
          <w:rFonts w:ascii="Times New Roman" w:hAnsi="Times New Roman"/>
          <w:color w:val="000000"/>
          <w:sz w:val="28"/>
          <w:szCs w:val="28"/>
        </w:rPr>
      </w:pPr>
    </w:p>
    <w:p w14:paraId="45B3DA5D" w14:textId="77777777" w:rsidR="000C2C4B" w:rsidRPr="00CE38CA" w:rsidRDefault="000C2C4B" w:rsidP="00844CE8">
      <w:pPr>
        <w:pStyle w:val="ac"/>
        <w:jc w:val="both"/>
        <w:rPr>
          <w:rFonts w:ascii="Times New Roman" w:eastAsia="Times New Roman" w:hAnsi="Times New Roman"/>
          <w:b/>
          <w:sz w:val="28"/>
          <w:szCs w:val="28"/>
          <w:lang w:eastAsia="ru-RU"/>
        </w:rPr>
      </w:pPr>
      <w:r w:rsidRPr="00CE38CA">
        <w:rPr>
          <w:rFonts w:ascii="Times New Roman" w:eastAsia="Times New Roman" w:hAnsi="Times New Roman"/>
          <w:b/>
          <w:sz w:val="28"/>
          <w:szCs w:val="28"/>
          <w:lang w:eastAsia="ru-RU"/>
        </w:rPr>
        <w:t>Дополнительные сведения</w:t>
      </w:r>
    </w:p>
    <w:p w14:paraId="1FCCEEBD" w14:textId="77777777" w:rsidR="006B7A90" w:rsidRPr="00CE38CA" w:rsidRDefault="00844CE8" w:rsidP="00844CE8">
      <w:pPr>
        <w:spacing w:after="0" w:line="240" w:lineRule="auto"/>
        <w:jc w:val="both"/>
        <w:rPr>
          <w:rFonts w:ascii="Times New Roman" w:hAnsi="Times New Roman"/>
          <w:i/>
          <w:sz w:val="28"/>
          <w:szCs w:val="28"/>
        </w:rPr>
      </w:pPr>
      <w:bookmarkStart w:id="14" w:name="2175220285"/>
      <w:r w:rsidRPr="00CE38CA">
        <w:rPr>
          <w:rFonts w:ascii="Times New Roman" w:eastAsia="Times New Roman" w:hAnsi="Times New Roman"/>
          <w:b/>
          <w:i/>
          <w:sz w:val="28"/>
          <w:szCs w:val="28"/>
          <w:lang w:eastAsia="ru-RU"/>
        </w:rPr>
        <w:t>Состав лекарственного препарата</w:t>
      </w:r>
      <w:r w:rsidR="00C379C9" w:rsidRPr="00CE38CA">
        <w:rPr>
          <w:rFonts w:ascii="Times New Roman" w:eastAsia="Times New Roman" w:hAnsi="Times New Roman"/>
          <w:b/>
          <w:i/>
          <w:sz w:val="28"/>
          <w:szCs w:val="28"/>
          <w:lang w:eastAsia="ru-RU"/>
        </w:rPr>
        <w:t xml:space="preserve"> </w:t>
      </w:r>
    </w:p>
    <w:p w14:paraId="13EF910B" w14:textId="77777777" w:rsidR="006B7A90" w:rsidRPr="00CE38CA"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15" w:name="2175220286"/>
      <w:bookmarkEnd w:id="14"/>
      <w:r w:rsidRPr="00CE38CA">
        <w:rPr>
          <w:rFonts w:ascii="Times New Roman" w:eastAsia="Times New Roman" w:hAnsi="Times New Roman"/>
          <w:bCs/>
          <w:sz w:val="28"/>
          <w:szCs w:val="28"/>
          <w:lang w:eastAsia="ru-RU"/>
        </w:rPr>
        <w:t xml:space="preserve">Одна </w:t>
      </w:r>
      <w:r w:rsidR="00FC4EB0" w:rsidRPr="00CE38CA">
        <w:rPr>
          <w:rFonts w:ascii="Times New Roman" w:eastAsia="Times New Roman" w:hAnsi="Times New Roman"/>
          <w:bCs/>
          <w:sz w:val="28"/>
          <w:szCs w:val="28"/>
          <w:lang w:eastAsia="ru-RU"/>
        </w:rPr>
        <w:t>капсула</w:t>
      </w:r>
      <w:r w:rsidRPr="00CE38CA">
        <w:rPr>
          <w:rFonts w:ascii="Times New Roman" w:eastAsia="Times New Roman" w:hAnsi="Times New Roman"/>
          <w:bCs/>
          <w:sz w:val="28"/>
          <w:szCs w:val="28"/>
          <w:lang w:eastAsia="ru-RU"/>
        </w:rPr>
        <w:t xml:space="preserve"> содержит</w:t>
      </w:r>
      <w:r w:rsidR="00A05960" w:rsidRPr="00CE38CA">
        <w:rPr>
          <w:rFonts w:ascii="Times New Roman" w:eastAsia="Times New Roman" w:hAnsi="Times New Roman"/>
          <w:bCs/>
          <w:sz w:val="28"/>
          <w:szCs w:val="28"/>
          <w:lang w:eastAsia="ru-RU"/>
        </w:rPr>
        <w:t>:</w:t>
      </w:r>
      <w:r w:rsidRPr="00CE38CA">
        <w:rPr>
          <w:rFonts w:ascii="Times New Roman" w:eastAsia="Times New Roman" w:hAnsi="Times New Roman"/>
          <w:bCs/>
          <w:sz w:val="28"/>
          <w:szCs w:val="28"/>
          <w:lang w:eastAsia="ru-RU"/>
        </w:rPr>
        <w:t xml:space="preserve"> </w:t>
      </w:r>
    </w:p>
    <w:p w14:paraId="689C184D" w14:textId="77777777" w:rsidR="006B7A90" w:rsidRPr="00CE38CA" w:rsidRDefault="00844CE8" w:rsidP="00A05960">
      <w:pPr>
        <w:widowControl w:val="0"/>
        <w:autoSpaceDE w:val="0"/>
        <w:autoSpaceDN w:val="0"/>
        <w:spacing w:after="0" w:line="240" w:lineRule="auto"/>
        <w:jc w:val="both"/>
        <w:rPr>
          <w:rFonts w:ascii="Times New Roman" w:eastAsia="Times New Roman" w:hAnsi="Times New Roman"/>
          <w:bCs/>
          <w:iCs/>
          <w:sz w:val="28"/>
          <w:szCs w:val="28"/>
          <w:lang w:eastAsia="ru-RU"/>
        </w:rPr>
      </w:pPr>
      <w:r w:rsidRPr="00CE38CA">
        <w:rPr>
          <w:rFonts w:ascii="Times New Roman" w:eastAsia="Times New Roman" w:hAnsi="Times New Roman"/>
          <w:bCs/>
          <w:i/>
          <w:sz w:val="28"/>
          <w:szCs w:val="28"/>
          <w:lang w:eastAsia="ru-RU"/>
        </w:rPr>
        <w:t xml:space="preserve">активное вещество </w:t>
      </w:r>
      <w:r w:rsidR="00FC4EB0" w:rsidRPr="00CE38CA">
        <w:rPr>
          <w:rFonts w:ascii="Times New Roman" w:eastAsia="Times New Roman" w:hAnsi="Times New Roman"/>
          <w:bCs/>
          <w:i/>
          <w:sz w:val="28"/>
          <w:szCs w:val="28"/>
          <w:lang w:eastAsia="ru-RU"/>
        </w:rPr>
        <w:t>–</w:t>
      </w:r>
      <w:r w:rsidRPr="00CE38CA">
        <w:rPr>
          <w:rFonts w:ascii="Times New Roman" w:eastAsia="Times New Roman" w:hAnsi="Times New Roman"/>
          <w:bCs/>
          <w:i/>
          <w:sz w:val="28"/>
          <w:szCs w:val="28"/>
          <w:lang w:eastAsia="ru-RU"/>
        </w:rPr>
        <w:t xml:space="preserve"> </w:t>
      </w:r>
      <w:r w:rsidR="00FC4EB0" w:rsidRPr="00CE38CA">
        <w:rPr>
          <w:rFonts w:ascii="Times New Roman" w:eastAsia="Times New Roman" w:hAnsi="Times New Roman"/>
          <w:bCs/>
          <w:iCs/>
          <w:sz w:val="28"/>
          <w:szCs w:val="28"/>
          <w:lang w:eastAsia="ru-RU"/>
        </w:rPr>
        <w:t xml:space="preserve">альфакальцидол </w:t>
      </w:r>
      <w:r w:rsidR="00A05960" w:rsidRPr="00CE38CA">
        <w:rPr>
          <w:rFonts w:ascii="Times New Roman" w:eastAsia="Times New Roman" w:hAnsi="Times New Roman"/>
          <w:bCs/>
          <w:iCs/>
          <w:sz w:val="28"/>
          <w:szCs w:val="28"/>
          <w:lang w:eastAsia="ru-RU"/>
        </w:rPr>
        <w:t>0.</w:t>
      </w:r>
      <w:r w:rsidR="00FC4EB0" w:rsidRPr="00CE38CA">
        <w:rPr>
          <w:rFonts w:ascii="Times New Roman" w:eastAsia="Times New Roman" w:hAnsi="Times New Roman"/>
          <w:bCs/>
          <w:iCs/>
          <w:sz w:val="28"/>
          <w:szCs w:val="28"/>
          <w:lang w:eastAsia="ru-RU"/>
        </w:rPr>
        <w:t>25</w:t>
      </w:r>
      <w:r w:rsidR="00A05960" w:rsidRPr="00CE38CA">
        <w:rPr>
          <w:rFonts w:ascii="Times New Roman" w:eastAsia="Times New Roman" w:hAnsi="Times New Roman"/>
          <w:bCs/>
          <w:iCs/>
          <w:sz w:val="28"/>
          <w:szCs w:val="28"/>
          <w:lang w:eastAsia="ru-RU"/>
        </w:rPr>
        <w:t xml:space="preserve"> м</w:t>
      </w:r>
      <w:r w:rsidR="00FC4EB0" w:rsidRPr="00CE38CA">
        <w:rPr>
          <w:rFonts w:ascii="Times New Roman" w:eastAsia="Times New Roman" w:hAnsi="Times New Roman"/>
          <w:bCs/>
          <w:iCs/>
          <w:sz w:val="28"/>
          <w:szCs w:val="28"/>
          <w:lang w:eastAsia="ru-RU"/>
        </w:rPr>
        <w:t>к</w:t>
      </w:r>
      <w:r w:rsidR="00A05960" w:rsidRPr="00CE38CA">
        <w:rPr>
          <w:rFonts w:ascii="Times New Roman" w:eastAsia="Times New Roman" w:hAnsi="Times New Roman"/>
          <w:bCs/>
          <w:iCs/>
          <w:sz w:val="28"/>
          <w:szCs w:val="28"/>
          <w:lang w:eastAsia="ru-RU"/>
        </w:rPr>
        <w:t>г</w:t>
      </w:r>
      <w:r w:rsidR="00FC4EB0" w:rsidRPr="00CE38CA">
        <w:rPr>
          <w:rFonts w:ascii="Times New Roman" w:eastAsia="Times New Roman" w:hAnsi="Times New Roman"/>
          <w:bCs/>
          <w:iCs/>
          <w:sz w:val="28"/>
          <w:szCs w:val="28"/>
          <w:lang w:eastAsia="ru-RU"/>
        </w:rPr>
        <w:t xml:space="preserve"> или 1.0 мкг соответственно</w:t>
      </w:r>
      <w:r w:rsidR="00A05960" w:rsidRPr="00CE38CA">
        <w:rPr>
          <w:rFonts w:ascii="Times New Roman" w:eastAsia="Times New Roman" w:hAnsi="Times New Roman"/>
          <w:bCs/>
          <w:iCs/>
          <w:sz w:val="28"/>
          <w:szCs w:val="28"/>
          <w:lang w:eastAsia="ru-RU"/>
        </w:rPr>
        <w:t>;</w:t>
      </w:r>
    </w:p>
    <w:p w14:paraId="475D42D9" w14:textId="77777777" w:rsidR="00FC4EB0" w:rsidRPr="00CE38CA" w:rsidRDefault="006B7A90" w:rsidP="00FC4EB0">
      <w:pPr>
        <w:autoSpaceDE w:val="0"/>
        <w:autoSpaceDN w:val="0"/>
        <w:adjustRightInd w:val="0"/>
        <w:spacing w:after="0" w:line="240" w:lineRule="auto"/>
        <w:jc w:val="both"/>
        <w:rPr>
          <w:rFonts w:ascii="Times New Roman" w:eastAsia="TimesNewRomanPSMT" w:hAnsi="Times New Roman"/>
          <w:sz w:val="28"/>
          <w:szCs w:val="28"/>
          <w:lang w:eastAsia="ru-RU"/>
        </w:rPr>
      </w:pPr>
      <w:r w:rsidRPr="00CE38CA">
        <w:rPr>
          <w:rFonts w:ascii="Times New Roman" w:hAnsi="Times New Roman"/>
          <w:i/>
          <w:iCs/>
          <w:sz w:val="28"/>
          <w:szCs w:val="28"/>
        </w:rPr>
        <w:t xml:space="preserve">вспомогательные вещества: </w:t>
      </w:r>
      <w:r w:rsidR="00FC4EB0" w:rsidRPr="00CE38CA">
        <w:rPr>
          <w:rFonts w:ascii="Times New Roman" w:eastAsia="TimesNewRomanPSMT" w:hAnsi="Times New Roman"/>
          <w:sz w:val="28"/>
          <w:szCs w:val="28"/>
          <w:lang w:eastAsia="ru-RU"/>
        </w:rPr>
        <w:t>бутилгидроксианизол, масло кукурузное, желатин, глицерин, сорбитол жидкий некристаллизующийся, метилпарабен, пропилапарабен, краситель Понсо 4R Супра (Е 124) (для дозировки 0.25 мкг), краситель индигокармин (Е 132) (для дозировки      1.0 мкг), краситель хинолиновый желтый (Е 104) (для дозировки 1.0 мкг).</w:t>
      </w:r>
    </w:p>
    <w:p w14:paraId="5FDA68DB" w14:textId="77777777" w:rsidR="006B7A90" w:rsidRPr="00CE38CA" w:rsidRDefault="006B7A90" w:rsidP="00FC4EB0">
      <w:pPr>
        <w:autoSpaceDE w:val="0"/>
        <w:autoSpaceDN w:val="0"/>
        <w:adjustRightInd w:val="0"/>
        <w:spacing w:after="0" w:line="240" w:lineRule="auto"/>
        <w:jc w:val="both"/>
        <w:rPr>
          <w:rFonts w:ascii="Times New Roman" w:eastAsia="TimesNewRomanPSMT" w:hAnsi="Times New Roman"/>
          <w:sz w:val="28"/>
          <w:szCs w:val="28"/>
          <w:lang w:eastAsia="ru-RU"/>
        </w:rPr>
      </w:pPr>
      <w:r w:rsidRPr="00CE38CA">
        <w:rPr>
          <w:rFonts w:ascii="Times New Roman" w:eastAsia="Times New Roman" w:hAnsi="Times New Roman"/>
          <w:b/>
          <w:i/>
          <w:sz w:val="28"/>
          <w:szCs w:val="28"/>
          <w:lang w:eastAsia="ru-RU"/>
        </w:rPr>
        <w:t>Описание внешнего вида, запаха, вкуса</w:t>
      </w:r>
    </w:p>
    <w:bookmarkEnd w:id="15"/>
    <w:p w14:paraId="58F57438" w14:textId="77777777" w:rsidR="00FC4EB0" w:rsidRPr="00CE38CA" w:rsidRDefault="00FC4EB0" w:rsidP="00FC4EB0">
      <w:pPr>
        <w:widowControl w:val="0"/>
        <w:autoSpaceDE w:val="0"/>
        <w:autoSpaceDN w:val="0"/>
        <w:spacing w:after="0" w:line="240" w:lineRule="auto"/>
        <w:jc w:val="both"/>
        <w:rPr>
          <w:rFonts w:ascii="Times New Roman" w:eastAsia="Times New Roman" w:hAnsi="Times New Roman"/>
          <w:i/>
          <w:iCs/>
          <w:color w:val="000000"/>
          <w:spacing w:val="-4"/>
          <w:sz w:val="28"/>
          <w:szCs w:val="28"/>
          <w:lang w:eastAsia="hu-HU"/>
        </w:rPr>
      </w:pPr>
      <w:r w:rsidRPr="00CE38CA">
        <w:rPr>
          <w:rFonts w:ascii="Times New Roman" w:eastAsia="Times New Roman" w:hAnsi="Times New Roman"/>
          <w:i/>
          <w:iCs/>
          <w:color w:val="000000"/>
          <w:spacing w:val="-4"/>
          <w:sz w:val="28"/>
          <w:szCs w:val="28"/>
          <w:lang w:eastAsia="hu-HU"/>
        </w:rPr>
        <w:t>Для дозировки 0.25 мкг</w:t>
      </w:r>
    </w:p>
    <w:p w14:paraId="5B78804D" w14:textId="77777777" w:rsidR="00FC4EB0" w:rsidRPr="00CE38CA" w:rsidRDefault="00FC4EB0" w:rsidP="00FC4EB0">
      <w:pPr>
        <w:widowControl w:val="0"/>
        <w:autoSpaceDE w:val="0"/>
        <w:autoSpaceDN w:val="0"/>
        <w:spacing w:after="0" w:line="240" w:lineRule="auto"/>
        <w:jc w:val="both"/>
        <w:rPr>
          <w:rFonts w:ascii="Times New Roman" w:eastAsia="Times New Roman" w:hAnsi="Times New Roman"/>
          <w:color w:val="000000"/>
          <w:spacing w:val="-4"/>
          <w:sz w:val="28"/>
          <w:szCs w:val="28"/>
          <w:lang w:eastAsia="hu-HU"/>
        </w:rPr>
      </w:pPr>
      <w:r w:rsidRPr="00CE38CA">
        <w:rPr>
          <w:rFonts w:ascii="Times New Roman" w:eastAsia="Times New Roman" w:hAnsi="Times New Roman"/>
          <w:color w:val="000000"/>
          <w:spacing w:val="-4"/>
          <w:sz w:val="28"/>
          <w:szCs w:val="28"/>
          <w:lang w:eastAsia="hu-HU"/>
        </w:rPr>
        <w:t>Мягкие прозрачные желатиновые капсулы круглой формы красного цвета.</w:t>
      </w:r>
    </w:p>
    <w:p w14:paraId="38DF02C2" w14:textId="77777777" w:rsidR="00FC4EB0" w:rsidRPr="00CE38CA" w:rsidRDefault="00FC4EB0" w:rsidP="00FC4EB0">
      <w:pPr>
        <w:widowControl w:val="0"/>
        <w:autoSpaceDE w:val="0"/>
        <w:autoSpaceDN w:val="0"/>
        <w:spacing w:after="0" w:line="240" w:lineRule="auto"/>
        <w:jc w:val="both"/>
        <w:rPr>
          <w:rFonts w:ascii="Times New Roman" w:eastAsia="Times New Roman" w:hAnsi="Times New Roman"/>
          <w:color w:val="000000"/>
          <w:spacing w:val="-4"/>
          <w:sz w:val="28"/>
          <w:szCs w:val="28"/>
          <w:lang w:eastAsia="hu-HU"/>
        </w:rPr>
      </w:pPr>
      <w:r w:rsidRPr="00CE38CA">
        <w:rPr>
          <w:rFonts w:ascii="Times New Roman" w:eastAsia="Times New Roman" w:hAnsi="Times New Roman"/>
          <w:color w:val="000000"/>
          <w:spacing w:val="-4"/>
          <w:sz w:val="28"/>
          <w:szCs w:val="28"/>
          <w:lang w:eastAsia="hu-HU"/>
        </w:rPr>
        <w:t>Содержимое капсулы - прозрачная маслянистая жидкость светло-желтого цвета с характерным запахом.</w:t>
      </w:r>
    </w:p>
    <w:p w14:paraId="5E799ED2" w14:textId="77777777" w:rsidR="00FC4EB0" w:rsidRPr="00CE38CA" w:rsidRDefault="00FC4EB0" w:rsidP="00FC4EB0">
      <w:pPr>
        <w:widowControl w:val="0"/>
        <w:autoSpaceDE w:val="0"/>
        <w:autoSpaceDN w:val="0"/>
        <w:spacing w:after="0" w:line="240" w:lineRule="auto"/>
        <w:jc w:val="both"/>
        <w:rPr>
          <w:rFonts w:ascii="Times New Roman" w:eastAsia="Times New Roman" w:hAnsi="Times New Roman"/>
          <w:i/>
          <w:iCs/>
          <w:color w:val="000000"/>
          <w:spacing w:val="-4"/>
          <w:sz w:val="28"/>
          <w:szCs w:val="28"/>
          <w:lang w:eastAsia="hu-HU"/>
        </w:rPr>
      </w:pPr>
      <w:r w:rsidRPr="00CE38CA">
        <w:rPr>
          <w:rFonts w:ascii="Times New Roman" w:eastAsia="Times New Roman" w:hAnsi="Times New Roman"/>
          <w:i/>
          <w:iCs/>
          <w:color w:val="000000"/>
          <w:spacing w:val="-4"/>
          <w:sz w:val="28"/>
          <w:szCs w:val="28"/>
          <w:lang w:eastAsia="hu-HU"/>
        </w:rPr>
        <w:t>Для дозировки 1.0 мкг</w:t>
      </w:r>
    </w:p>
    <w:p w14:paraId="7ACED007" w14:textId="77777777" w:rsidR="00FC4EB0" w:rsidRPr="00CE38CA" w:rsidRDefault="00FC4EB0" w:rsidP="00FC4EB0">
      <w:pPr>
        <w:widowControl w:val="0"/>
        <w:autoSpaceDE w:val="0"/>
        <w:autoSpaceDN w:val="0"/>
        <w:spacing w:after="0" w:line="240" w:lineRule="auto"/>
        <w:jc w:val="both"/>
        <w:rPr>
          <w:rFonts w:ascii="Times New Roman" w:eastAsia="Times New Roman" w:hAnsi="Times New Roman"/>
          <w:color w:val="000000"/>
          <w:spacing w:val="-4"/>
          <w:sz w:val="28"/>
          <w:szCs w:val="28"/>
          <w:lang w:eastAsia="hu-HU"/>
        </w:rPr>
      </w:pPr>
      <w:r w:rsidRPr="00CE38CA">
        <w:rPr>
          <w:rFonts w:ascii="Times New Roman" w:eastAsia="Times New Roman" w:hAnsi="Times New Roman"/>
          <w:color w:val="000000"/>
          <w:spacing w:val="-4"/>
          <w:sz w:val="28"/>
          <w:szCs w:val="28"/>
          <w:lang w:eastAsia="hu-HU"/>
        </w:rPr>
        <w:t>Мягкие прозрачные желатиновые капсулы круглой формы от светло-зеленого до зеленого цвета.</w:t>
      </w:r>
    </w:p>
    <w:p w14:paraId="6B0F9267" w14:textId="77777777" w:rsidR="00FC4EB0" w:rsidRPr="00CE38CA" w:rsidRDefault="00FC4EB0" w:rsidP="00FC4EB0">
      <w:pPr>
        <w:widowControl w:val="0"/>
        <w:autoSpaceDE w:val="0"/>
        <w:autoSpaceDN w:val="0"/>
        <w:spacing w:after="0" w:line="240" w:lineRule="auto"/>
        <w:jc w:val="both"/>
        <w:rPr>
          <w:rFonts w:ascii="Times New Roman" w:eastAsia="Times New Roman" w:hAnsi="Times New Roman"/>
          <w:color w:val="000000"/>
          <w:spacing w:val="-4"/>
          <w:sz w:val="28"/>
          <w:szCs w:val="28"/>
          <w:lang w:eastAsia="hu-HU"/>
        </w:rPr>
      </w:pPr>
      <w:r w:rsidRPr="00CE38CA">
        <w:rPr>
          <w:rFonts w:ascii="Times New Roman" w:eastAsia="Times New Roman" w:hAnsi="Times New Roman"/>
          <w:color w:val="000000"/>
          <w:spacing w:val="-4"/>
          <w:sz w:val="28"/>
          <w:szCs w:val="28"/>
          <w:lang w:eastAsia="hu-HU"/>
        </w:rPr>
        <w:t>Содержимое капсулы - прозрачная маслянистая жидкость светло-желтого цвета с характерным запахом.</w:t>
      </w:r>
    </w:p>
    <w:p w14:paraId="4F706EFB" w14:textId="77777777" w:rsidR="008472EF" w:rsidRPr="00CE38CA" w:rsidRDefault="008472EF" w:rsidP="00844CE8">
      <w:pPr>
        <w:pStyle w:val="ac"/>
        <w:jc w:val="both"/>
        <w:rPr>
          <w:rFonts w:ascii="Times New Roman" w:eastAsia="Times New Roman" w:hAnsi="Times New Roman"/>
          <w:sz w:val="28"/>
          <w:szCs w:val="28"/>
          <w:lang w:eastAsia="ru-RU"/>
        </w:rPr>
      </w:pPr>
    </w:p>
    <w:p w14:paraId="275E6CE0" w14:textId="77777777" w:rsidR="008472EF" w:rsidRPr="00CE38CA" w:rsidRDefault="00A05960" w:rsidP="00844CE8">
      <w:pPr>
        <w:spacing w:after="0" w:line="240" w:lineRule="auto"/>
        <w:jc w:val="both"/>
        <w:rPr>
          <w:rFonts w:ascii="Times New Roman" w:eastAsia="Times New Roman" w:hAnsi="Times New Roman"/>
          <w:b/>
          <w:sz w:val="28"/>
          <w:szCs w:val="28"/>
          <w:lang w:eastAsia="ru-RU"/>
        </w:rPr>
      </w:pPr>
      <w:bookmarkStart w:id="16" w:name="2175220287"/>
      <w:r w:rsidRPr="00CE38CA">
        <w:rPr>
          <w:rFonts w:ascii="Times New Roman" w:eastAsia="Times New Roman" w:hAnsi="Times New Roman"/>
          <w:b/>
          <w:sz w:val="28"/>
          <w:szCs w:val="28"/>
          <w:lang w:eastAsia="ru-RU"/>
        </w:rPr>
        <w:t>Форма выпуска и</w:t>
      </w:r>
      <w:r w:rsidR="00C9308C" w:rsidRPr="00CE38CA">
        <w:rPr>
          <w:rFonts w:ascii="Times New Roman" w:eastAsia="Times New Roman" w:hAnsi="Times New Roman"/>
          <w:b/>
          <w:sz w:val="28"/>
          <w:szCs w:val="28"/>
          <w:lang w:eastAsia="ru-RU"/>
        </w:rPr>
        <w:t xml:space="preserve"> упаковка</w:t>
      </w:r>
    </w:p>
    <w:p w14:paraId="6C83911C" w14:textId="77777777" w:rsidR="00486950" w:rsidRPr="00CE38CA" w:rsidRDefault="00486950" w:rsidP="00486950">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CE38CA">
        <w:rPr>
          <w:rFonts w:ascii="Times New Roman" w:eastAsia="Microsoft Sans Serif" w:hAnsi="Times New Roman"/>
          <w:sz w:val="28"/>
          <w:szCs w:val="28"/>
          <w:lang w:eastAsia="ru-RU" w:bidi="ru-RU"/>
        </w:rPr>
        <w:t>По 10 капсул помещают в контурную ячейковую упаковку из пленки поливинилхлоридной и фольги алюминиевой.</w:t>
      </w:r>
    </w:p>
    <w:p w14:paraId="0E62C0CF" w14:textId="77777777" w:rsidR="00486950" w:rsidRPr="00CE38CA" w:rsidRDefault="00486950" w:rsidP="00486950">
      <w:pPr>
        <w:autoSpaceDE w:val="0"/>
        <w:autoSpaceDN w:val="0"/>
        <w:adjustRightInd w:val="0"/>
        <w:spacing w:after="0" w:line="240" w:lineRule="auto"/>
        <w:jc w:val="both"/>
        <w:rPr>
          <w:rFonts w:ascii="Times New Roman" w:eastAsia="Microsoft Sans Serif" w:hAnsi="Times New Roman"/>
          <w:sz w:val="28"/>
          <w:szCs w:val="28"/>
          <w:lang w:eastAsia="ru-RU" w:bidi="ru-RU"/>
        </w:rPr>
      </w:pPr>
      <w:r w:rsidRPr="00CE38CA">
        <w:rPr>
          <w:rFonts w:ascii="Times New Roman" w:eastAsia="Microsoft Sans Serif" w:hAnsi="Times New Roman"/>
          <w:sz w:val="28"/>
          <w:szCs w:val="28"/>
          <w:lang w:eastAsia="ru-RU" w:bidi="ru-RU"/>
        </w:rPr>
        <w:t>По 3 или 10 контурных ячейковых упаковок вместе с инструкцией по медицинскому применению на казахском и русском языках вкладывают в пачку из картона.</w:t>
      </w:r>
    </w:p>
    <w:p w14:paraId="7D8B6C62" w14:textId="77777777" w:rsidR="00844CE8" w:rsidRPr="00CE38CA" w:rsidRDefault="00844CE8" w:rsidP="00844CE8">
      <w:pPr>
        <w:spacing w:after="0" w:line="240" w:lineRule="auto"/>
        <w:jc w:val="both"/>
        <w:rPr>
          <w:rFonts w:ascii="Times New Roman" w:eastAsia="Times New Roman" w:hAnsi="Times New Roman"/>
          <w:b/>
          <w:sz w:val="28"/>
          <w:szCs w:val="28"/>
          <w:lang w:eastAsia="ru-RU"/>
        </w:rPr>
      </w:pPr>
      <w:r w:rsidRPr="00CE38CA">
        <w:rPr>
          <w:rFonts w:ascii="Times New Roman" w:eastAsia="Times New Roman" w:hAnsi="Times New Roman"/>
          <w:b/>
          <w:sz w:val="28"/>
          <w:szCs w:val="28"/>
          <w:lang w:eastAsia="ru-RU"/>
        </w:rPr>
        <w:t>С</w:t>
      </w:r>
      <w:r w:rsidR="000E01AB" w:rsidRPr="00CE38CA">
        <w:rPr>
          <w:rFonts w:ascii="Times New Roman" w:eastAsia="Times New Roman" w:hAnsi="Times New Roman"/>
          <w:b/>
          <w:sz w:val="28"/>
          <w:szCs w:val="28"/>
          <w:lang w:eastAsia="ru-RU"/>
        </w:rPr>
        <w:t xml:space="preserve">рок </w:t>
      </w:r>
      <w:r w:rsidR="006C6558" w:rsidRPr="00CE38CA">
        <w:rPr>
          <w:rFonts w:ascii="Times New Roman" w:eastAsia="Times New Roman" w:hAnsi="Times New Roman"/>
          <w:b/>
          <w:sz w:val="28"/>
          <w:szCs w:val="28"/>
          <w:lang w:eastAsia="ru-RU"/>
        </w:rPr>
        <w:t>хранения</w:t>
      </w:r>
      <w:r w:rsidR="000E01AB" w:rsidRPr="00CE38CA">
        <w:rPr>
          <w:rFonts w:ascii="Times New Roman" w:eastAsia="Times New Roman" w:hAnsi="Times New Roman"/>
          <w:b/>
          <w:sz w:val="28"/>
          <w:szCs w:val="28"/>
          <w:lang w:eastAsia="ru-RU"/>
        </w:rPr>
        <w:t xml:space="preserve"> </w:t>
      </w:r>
    </w:p>
    <w:p w14:paraId="68C9EBBA" w14:textId="77777777" w:rsidR="00BB6AF8" w:rsidRPr="00CE38CA" w:rsidRDefault="00BB6AF8" w:rsidP="001E4A3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A05960" w:rsidRPr="00CE38CA">
        <w:rPr>
          <w:rFonts w:ascii="Times New Roman" w:eastAsia="Times New Roman" w:hAnsi="Times New Roman"/>
          <w:sz w:val="28"/>
          <w:szCs w:val="28"/>
          <w:lang w:eastAsia="ru-RU"/>
        </w:rPr>
        <w:t xml:space="preserve"> года</w:t>
      </w:r>
      <w:r>
        <w:rPr>
          <w:rFonts w:ascii="Times New Roman" w:eastAsia="Times New Roman" w:hAnsi="Times New Roman"/>
          <w:sz w:val="28"/>
          <w:szCs w:val="28"/>
          <w:lang w:eastAsia="ru-RU"/>
        </w:rPr>
        <w:t xml:space="preserve"> </w:t>
      </w:r>
    </w:p>
    <w:p w14:paraId="25652FCA" w14:textId="77777777" w:rsidR="000E01AB" w:rsidRPr="00CE38CA" w:rsidRDefault="00D14D61" w:rsidP="00844CE8">
      <w:pPr>
        <w:spacing w:after="0" w:line="240" w:lineRule="auto"/>
        <w:jc w:val="both"/>
        <w:rPr>
          <w:rFonts w:ascii="Times New Roman" w:eastAsia="Times New Roman" w:hAnsi="Times New Roman"/>
          <w:sz w:val="28"/>
          <w:szCs w:val="28"/>
          <w:lang w:eastAsia="ru-RU"/>
        </w:rPr>
      </w:pPr>
      <w:r w:rsidRPr="00CE38CA">
        <w:rPr>
          <w:rFonts w:ascii="Times New Roman" w:eastAsia="Times New Roman" w:hAnsi="Times New Roman"/>
          <w:sz w:val="28"/>
          <w:szCs w:val="28"/>
          <w:lang w:eastAsia="ru-RU"/>
        </w:rPr>
        <w:t xml:space="preserve">Не </w:t>
      </w:r>
      <w:r w:rsidR="000E01AB" w:rsidRPr="00CE38CA">
        <w:rPr>
          <w:rFonts w:ascii="Times New Roman" w:eastAsia="Times New Roman" w:hAnsi="Times New Roman"/>
          <w:sz w:val="28"/>
          <w:szCs w:val="28"/>
          <w:lang w:eastAsia="ru-RU"/>
        </w:rPr>
        <w:t>примен</w:t>
      </w:r>
      <w:r w:rsidRPr="00CE38CA">
        <w:rPr>
          <w:rFonts w:ascii="Times New Roman" w:eastAsia="Times New Roman" w:hAnsi="Times New Roman"/>
          <w:sz w:val="28"/>
          <w:szCs w:val="28"/>
          <w:lang w:eastAsia="ru-RU"/>
        </w:rPr>
        <w:t xml:space="preserve">ять </w:t>
      </w:r>
      <w:r w:rsidR="000E01AB" w:rsidRPr="00CE38CA">
        <w:rPr>
          <w:rFonts w:ascii="Times New Roman" w:eastAsia="Times New Roman" w:hAnsi="Times New Roman"/>
          <w:sz w:val="28"/>
          <w:szCs w:val="28"/>
          <w:lang w:eastAsia="ru-RU"/>
        </w:rPr>
        <w:t>по истечении срока годности</w:t>
      </w:r>
      <w:r w:rsidRPr="00CE38CA">
        <w:rPr>
          <w:rFonts w:ascii="Times New Roman" w:eastAsia="Times New Roman" w:hAnsi="Times New Roman"/>
          <w:sz w:val="28"/>
          <w:szCs w:val="28"/>
          <w:lang w:eastAsia="ru-RU"/>
        </w:rPr>
        <w:t>!</w:t>
      </w:r>
    </w:p>
    <w:p w14:paraId="35E71D78" w14:textId="77777777" w:rsidR="000E01AB" w:rsidRPr="00CE38CA" w:rsidRDefault="00D14D61" w:rsidP="00844CE8">
      <w:pPr>
        <w:spacing w:after="0" w:line="240" w:lineRule="auto"/>
        <w:jc w:val="both"/>
        <w:rPr>
          <w:rFonts w:ascii="Times New Roman" w:eastAsia="Times New Roman" w:hAnsi="Times New Roman"/>
          <w:b/>
          <w:i/>
          <w:sz w:val="28"/>
          <w:szCs w:val="28"/>
          <w:lang w:eastAsia="ru-RU"/>
        </w:rPr>
      </w:pPr>
      <w:bookmarkStart w:id="17" w:name="2175220288"/>
      <w:bookmarkEnd w:id="16"/>
      <w:r w:rsidRPr="00CE38CA">
        <w:rPr>
          <w:rFonts w:ascii="Times New Roman" w:eastAsia="Times New Roman" w:hAnsi="Times New Roman"/>
          <w:b/>
          <w:i/>
          <w:sz w:val="28"/>
          <w:szCs w:val="28"/>
          <w:lang w:eastAsia="ru-RU"/>
        </w:rPr>
        <w:t>Условия хранения</w:t>
      </w:r>
    </w:p>
    <w:p w14:paraId="7E624A33" w14:textId="77777777" w:rsidR="00A05960" w:rsidRPr="00CE38CA" w:rsidRDefault="00A05960" w:rsidP="00A05960">
      <w:pPr>
        <w:spacing w:after="0" w:line="240" w:lineRule="auto"/>
        <w:jc w:val="both"/>
        <w:rPr>
          <w:rFonts w:ascii="Times New Roman" w:hAnsi="Times New Roman"/>
          <w:sz w:val="28"/>
          <w:szCs w:val="28"/>
        </w:rPr>
      </w:pPr>
      <w:r w:rsidRPr="00CE38CA">
        <w:rPr>
          <w:rFonts w:ascii="Times New Roman" w:hAnsi="Times New Roman"/>
          <w:sz w:val="28"/>
          <w:szCs w:val="28"/>
        </w:rPr>
        <w:t xml:space="preserve">Хранить в сухом, защищённом от света месте при температуре не выше 25ºС. </w:t>
      </w:r>
    </w:p>
    <w:p w14:paraId="1BC57CEB" w14:textId="77777777" w:rsidR="00D14D61" w:rsidRPr="00CE38CA" w:rsidRDefault="00D14D61" w:rsidP="00844CE8">
      <w:pPr>
        <w:spacing w:after="0" w:line="240" w:lineRule="auto"/>
        <w:jc w:val="both"/>
        <w:rPr>
          <w:rFonts w:ascii="Times New Roman" w:hAnsi="Times New Roman"/>
          <w:sz w:val="28"/>
          <w:szCs w:val="28"/>
        </w:rPr>
      </w:pPr>
      <w:r w:rsidRPr="00CE38CA">
        <w:rPr>
          <w:rFonts w:ascii="Times New Roman" w:hAnsi="Times New Roman"/>
          <w:sz w:val="28"/>
          <w:szCs w:val="28"/>
        </w:rPr>
        <w:t xml:space="preserve">Хранить в недоступном для детей месте! </w:t>
      </w:r>
      <w:bookmarkStart w:id="18" w:name="2175220289"/>
      <w:bookmarkEnd w:id="17"/>
    </w:p>
    <w:bookmarkEnd w:id="18"/>
    <w:p w14:paraId="0255F68D" w14:textId="77777777" w:rsidR="006B7A90" w:rsidRPr="00CE38CA" w:rsidRDefault="006B7A90" w:rsidP="00844CE8">
      <w:pPr>
        <w:pStyle w:val="ac"/>
        <w:jc w:val="both"/>
        <w:rPr>
          <w:rFonts w:ascii="Times New Roman" w:eastAsia="Times New Roman" w:hAnsi="Times New Roman"/>
          <w:sz w:val="28"/>
          <w:szCs w:val="28"/>
          <w:lang w:eastAsia="ru-RU"/>
        </w:rPr>
      </w:pPr>
    </w:p>
    <w:p w14:paraId="36E03506" w14:textId="77777777" w:rsidR="006C6558" w:rsidRPr="00CE38CA" w:rsidRDefault="006C6558" w:rsidP="00844CE8">
      <w:pPr>
        <w:spacing w:after="0" w:line="240" w:lineRule="auto"/>
        <w:jc w:val="both"/>
        <w:rPr>
          <w:rFonts w:ascii="Times New Roman" w:hAnsi="Times New Roman"/>
          <w:color w:val="000000"/>
          <w:sz w:val="28"/>
          <w:szCs w:val="28"/>
        </w:rPr>
      </w:pPr>
      <w:r w:rsidRPr="00CE38CA">
        <w:rPr>
          <w:rFonts w:ascii="Times New Roman" w:hAnsi="Times New Roman"/>
          <w:b/>
          <w:color w:val="000000"/>
          <w:sz w:val="28"/>
          <w:szCs w:val="28"/>
        </w:rPr>
        <w:lastRenderedPageBreak/>
        <w:t xml:space="preserve">Условия отпуска из аптек </w:t>
      </w:r>
    </w:p>
    <w:p w14:paraId="525EEAB1" w14:textId="77777777" w:rsidR="00A05960" w:rsidRPr="00CE38CA" w:rsidRDefault="00A05960" w:rsidP="00844CE8">
      <w:pPr>
        <w:spacing w:after="0" w:line="240" w:lineRule="auto"/>
        <w:jc w:val="both"/>
        <w:rPr>
          <w:rFonts w:ascii="Times New Roman" w:hAnsi="Times New Roman"/>
          <w:bCs/>
          <w:color w:val="000000"/>
          <w:sz w:val="28"/>
          <w:szCs w:val="28"/>
        </w:rPr>
      </w:pPr>
      <w:r w:rsidRPr="00CE38CA">
        <w:rPr>
          <w:rFonts w:ascii="Times New Roman" w:hAnsi="Times New Roman"/>
          <w:bCs/>
          <w:color w:val="000000"/>
          <w:sz w:val="28"/>
          <w:szCs w:val="28"/>
        </w:rPr>
        <w:t>По рецепту</w:t>
      </w:r>
    </w:p>
    <w:p w14:paraId="1E5E6C08" w14:textId="77777777" w:rsidR="006C6558" w:rsidRPr="00CE38CA" w:rsidRDefault="006C6558" w:rsidP="00844CE8">
      <w:pPr>
        <w:spacing w:after="0" w:line="240" w:lineRule="auto"/>
        <w:jc w:val="both"/>
        <w:rPr>
          <w:rFonts w:ascii="Times New Roman" w:eastAsia="Times New Roman" w:hAnsi="Times New Roman"/>
          <w:b/>
          <w:sz w:val="28"/>
          <w:szCs w:val="28"/>
          <w:lang w:eastAsia="ru-RU"/>
        </w:rPr>
      </w:pPr>
    </w:p>
    <w:p w14:paraId="27633FAE" w14:textId="77777777" w:rsidR="006B7A90" w:rsidRPr="00CE38CA" w:rsidRDefault="007C1693" w:rsidP="00844CE8">
      <w:pPr>
        <w:spacing w:after="0" w:line="240" w:lineRule="auto"/>
        <w:jc w:val="both"/>
        <w:rPr>
          <w:rFonts w:ascii="Times New Roman" w:eastAsia="Times New Roman" w:hAnsi="Times New Roman"/>
          <w:b/>
          <w:sz w:val="28"/>
          <w:szCs w:val="28"/>
          <w:lang w:eastAsia="ru-RU"/>
        </w:rPr>
      </w:pPr>
      <w:r w:rsidRPr="00CE38CA">
        <w:rPr>
          <w:rFonts w:ascii="Times New Roman" w:eastAsia="Times New Roman" w:hAnsi="Times New Roman"/>
          <w:b/>
          <w:sz w:val="28"/>
          <w:szCs w:val="28"/>
          <w:lang w:eastAsia="ru-RU"/>
        </w:rPr>
        <w:t xml:space="preserve">Сведения о производителе </w:t>
      </w:r>
    </w:p>
    <w:p w14:paraId="258EC8B5" w14:textId="77777777" w:rsidR="00A05960" w:rsidRPr="00332536" w:rsidRDefault="00A05960" w:rsidP="00A05960">
      <w:pPr>
        <w:autoSpaceDE w:val="0"/>
        <w:autoSpaceDN w:val="0"/>
        <w:spacing w:after="0" w:line="240" w:lineRule="auto"/>
        <w:jc w:val="both"/>
        <w:rPr>
          <w:rFonts w:ascii="Times New Roman" w:hAnsi="Times New Roman"/>
          <w:color w:val="000000"/>
          <w:sz w:val="28"/>
          <w:szCs w:val="28"/>
        </w:rPr>
      </w:pPr>
      <w:r w:rsidRPr="00CE38CA">
        <w:rPr>
          <w:rFonts w:ascii="Times New Roman" w:hAnsi="Times New Roman"/>
          <w:color w:val="000000"/>
          <w:sz w:val="28"/>
          <w:szCs w:val="28"/>
          <w:lang w:val="en-US"/>
        </w:rPr>
        <w:t>Panacea</w:t>
      </w:r>
      <w:r w:rsidRPr="00332536">
        <w:rPr>
          <w:rFonts w:ascii="Times New Roman" w:hAnsi="Times New Roman"/>
          <w:color w:val="000000"/>
          <w:sz w:val="28"/>
          <w:szCs w:val="28"/>
        </w:rPr>
        <w:t xml:space="preserve"> </w:t>
      </w:r>
      <w:r w:rsidRPr="00CE38CA">
        <w:rPr>
          <w:rFonts w:ascii="Times New Roman" w:hAnsi="Times New Roman"/>
          <w:color w:val="000000"/>
          <w:sz w:val="28"/>
          <w:szCs w:val="28"/>
          <w:lang w:val="en-US"/>
        </w:rPr>
        <w:t>Biotec</w:t>
      </w:r>
      <w:r w:rsidRPr="00332536">
        <w:rPr>
          <w:rFonts w:ascii="Times New Roman" w:hAnsi="Times New Roman"/>
          <w:color w:val="000000"/>
          <w:sz w:val="28"/>
          <w:szCs w:val="28"/>
        </w:rPr>
        <w:t xml:space="preserve"> </w:t>
      </w:r>
      <w:r w:rsidRPr="00CE38CA">
        <w:rPr>
          <w:rFonts w:ascii="Times New Roman" w:hAnsi="Times New Roman"/>
          <w:color w:val="000000"/>
          <w:sz w:val="28"/>
          <w:szCs w:val="28"/>
          <w:lang w:val="en-US"/>
        </w:rPr>
        <w:t>Pharma</w:t>
      </w:r>
      <w:r w:rsidRPr="00332536">
        <w:rPr>
          <w:rFonts w:ascii="Times New Roman" w:hAnsi="Times New Roman"/>
          <w:color w:val="000000"/>
          <w:sz w:val="28"/>
          <w:szCs w:val="28"/>
        </w:rPr>
        <w:t xml:space="preserve"> </w:t>
      </w:r>
      <w:r w:rsidRPr="00CE38CA">
        <w:rPr>
          <w:rFonts w:ascii="Times New Roman" w:hAnsi="Times New Roman"/>
          <w:color w:val="000000"/>
          <w:sz w:val="28"/>
          <w:szCs w:val="28"/>
          <w:lang w:val="en-US"/>
        </w:rPr>
        <w:t>Ltd</w:t>
      </w:r>
      <w:r w:rsidRPr="00332536">
        <w:rPr>
          <w:rFonts w:ascii="Times New Roman" w:hAnsi="Times New Roman"/>
          <w:color w:val="000000"/>
          <w:sz w:val="28"/>
          <w:szCs w:val="28"/>
        </w:rPr>
        <w:t>.,</w:t>
      </w:r>
    </w:p>
    <w:p w14:paraId="71B6A111" w14:textId="77777777" w:rsidR="00A05960" w:rsidRPr="00332536" w:rsidRDefault="00A05960" w:rsidP="00A05960">
      <w:pPr>
        <w:autoSpaceDE w:val="0"/>
        <w:autoSpaceDN w:val="0"/>
        <w:spacing w:after="0" w:line="240" w:lineRule="auto"/>
        <w:jc w:val="both"/>
        <w:rPr>
          <w:rFonts w:ascii="Times New Roman" w:hAnsi="Times New Roman"/>
          <w:color w:val="000000"/>
          <w:sz w:val="28"/>
          <w:szCs w:val="28"/>
          <w:lang w:val="en-US"/>
        </w:rPr>
      </w:pPr>
      <w:r w:rsidRPr="00CE38CA">
        <w:rPr>
          <w:rFonts w:ascii="Times New Roman" w:hAnsi="Times New Roman"/>
          <w:color w:val="000000"/>
          <w:sz w:val="28"/>
          <w:szCs w:val="28"/>
          <w:lang w:val="en-US"/>
        </w:rPr>
        <w:t xml:space="preserve">Malpur, Baddi, Distt. </w:t>
      </w:r>
      <w:r w:rsidRPr="00332536">
        <w:rPr>
          <w:rFonts w:ascii="Times New Roman" w:hAnsi="Times New Roman"/>
          <w:color w:val="000000"/>
          <w:sz w:val="28"/>
          <w:szCs w:val="28"/>
          <w:lang w:val="en-US"/>
        </w:rPr>
        <w:t xml:space="preserve">Solan, H.P. – 173205, </w:t>
      </w:r>
      <w:r w:rsidRPr="00CE38CA">
        <w:rPr>
          <w:rFonts w:ascii="Times New Roman" w:hAnsi="Times New Roman"/>
          <w:color w:val="000000"/>
          <w:sz w:val="28"/>
          <w:szCs w:val="28"/>
        </w:rPr>
        <w:t>Индия</w:t>
      </w:r>
      <w:r w:rsidRPr="00332536">
        <w:rPr>
          <w:rFonts w:ascii="Times New Roman" w:hAnsi="Times New Roman"/>
          <w:color w:val="000000"/>
          <w:sz w:val="28"/>
          <w:szCs w:val="28"/>
          <w:lang w:val="en-US"/>
        </w:rPr>
        <w:t>.</w:t>
      </w:r>
    </w:p>
    <w:p w14:paraId="064DF6CD" w14:textId="77777777" w:rsidR="00A05960" w:rsidRPr="00CE38CA" w:rsidRDefault="00A05960" w:rsidP="00A05960">
      <w:pPr>
        <w:autoSpaceDE w:val="0"/>
        <w:autoSpaceDN w:val="0"/>
        <w:spacing w:after="0" w:line="240" w:lineRule="auto"/>
        <w:jc w:val="both"/>
        <w:rPr>
          <w:rFonts w:ascii="Times New Roman" w:hAnsi="Times New Roman"/>
          <w:color w:val="000000"/>
          <w:sz w:val="28"/>
          <w:szCs w:val="28"/>
        </w:rPr>
      </w:pPr>
      <w:r w:rsidRPr="00CE38CA">
        <w:rPr>
          <w:rFonts w:ascii="Times New Roman" w:hAnsi="Times New Roman"/>
          <w:color w:val="000000"/>
          <w:sz w:val="28"/>
          <w:szCs w:val="28"/>
        </w:rPr>
        <w:t>Тел.+91-1795-304000</w:t>
      </w:r>
    </w:p>
    <w:p w14:paraId="7801C00E" w14:textId="77777777" w:rsidR="00A05960" w:rsidRPr="00CE38CA" w:rsidRDefault="00A05960" w:rsidP="00A05960">
      <w:pPr>
        <w:autoSpaceDE w:val="0"/>
        <w:autoSpaceDN w:val="0"/>
        <w:spacing w:after="0" w:line="240" w:lineRule="auto"/>
        <w:jc w:val="both"/>
        <w:rPr>
          <w:rFonts w:ascii="Times New Roman" w:hAnsi="Times New Roman"/>
          <w:color w:val="000000"/>
          <w:sz w:val="28"/>
          <w:szCs w:val="28"/>
        </w:rPr>
      </w:pPr>
      <w:r w:rsidRPr="00CE38CA">
        <w:rPr>
          <w:rFonts w:ascii="Times New Roman" w:hAnsi="Times New Roman"/>
          <w:color w:val="000000"/>
          <w:sz w:val="28"/>
          <w:szCs w:val="28"/>
        </w:rPr>
        <w:t>Факс. +91-1795-246834</w:t>
      </w:r>
    </w:p>
    <w:p w14:paraId="7631D204" w14:textId="77777777" w:rsidR="00A05960" w:rsidRPr="00FD6227" w:rsidRDefault="00A05960" w:rsidP="00A05960">
      <w:pPr>
        <w:autoSpaceDE w:val="0"/>
        <w:autoSpaceDN w:val="0"/>
        <w:spacing w:after="0" w:line="240" w:lineRule="auto"/>
        <w:jc w:val="both"/>
        <w:rPr>
          <w:rFonts w:ascii="Times New Roman" w:hAnsi="Times New Roman"/>
          <w:sz w:val="28"/>
          <w:szCs w:val="28"/>
        </w:rPr>
      </w:pPr>
      <w:r w:rsidRPr="00CE38CA">
        <w:rPr>
          <w:rFonts w:ascii="Times New Roman" w:hAnsi="Times New Roman"/>
          <w:color w:val="000000"/>
          <w:sz w:val="28"/>
          <w:szCs w:val="28"/>
        </w:rPr>
        <w:t xml:space="preserve">Адрес электронной почты: </w:t>
      </w:r>
      <w:hyperlink r:id="rId9" w:history="1">
        <w:r w:rsidRPr="00FD6227">
          <w:rPr>
            <w:rStyle w:val="af"/>
            <w:rFonts w:ascii="Times New Roman" w:hAnsi="Times New Roman"/>
            <w:color w:val="auto"/>
            <w:sz w:val="28"/>
            <w:szCs w:val="28"/>
            <w:u w:val="none"/>
          </w:rPr>
          <w:t>pharma@panaceabiotec.com</w:t>
        </w:r>
      </w:hyperlink>
    </w:p>
    <w:p w14:paraId="7052EA3F" w14:textId="77777777" w:rsidR="00D76048" w:rsidRPr="00FD6227" w:rsidRDefault="005A3C81" w:rsidP="00A05960">
      <w:pPr>
        <w:autoSpaceDE w:val="0"/>
        <w:autoSpaceDN w:val="0"/>
        <w:spacing w:after="0" w:line="240" w:lineRule="auto"/>
        <w:jc w:val="both"/>
        <w:rPr>
          <w:rFonts w:ascii="Times New Roman" w:eastAsia="Times New Roman" w:hAnsi="Times New Roman"/>
          <w:b/>
          <w:sz w:val="28"/>
          <w:szCs w:val="28"/>
          <w:lang w:eastAsia="ru-RU"/>
        </w:rPr>
      </w:pPr>
      <w:r w:rsidRPr="00FD6227">
        <w:rPr>
          <w:rFonts w:ascii="Times New Roman" w:eastAsia="Times New Roman" w:hAnsi="Times New Roman"/>
          <w:b/>
          <w:sz w:val="28"/>
          <w:szCs w:val="28"/>
          <w:lang w:val="uk-UA" w:eastAsia="ru-RU"/>
        </w:rPr>
        <w:t>Держатель</w:t>
      </w:r>
      <w:r w:rsidR="00D76048" w:rsidRPr="00FD6227">
        <w:rPr>
          <w:rFonts w:ascii="Times New Roman" w:eastAsia="Times New Roman" w:hAnsi="Times New Roman"/>
          <w:b/>
          <w:sz w:val="28"/>
          <w:szCs w:val="28"/>
          <w:lang w:eastAsia="ru-RU"/>
        </w:rPr>
        <w:t xml:space="preserve"> регистрационного удостоверения</w:t>
      </w:r>
    </w:p>
    <w:p w14:paraId="37F16A66" w14:textId="77777777" w:rsidR="00A05960" w:rsidRPr="00FD6227" w:rsidRDefault="00A05960" w:rsidP="00A05960">
      <w:pPr>
        <w:pStyle w:val="21"/>
        <w:spacing w:after="0" w:line="240" w:lineRule="auto"/>
        <w:jc w:val="both"/>
        <w:rPr>
          <w:rFonts w:ascii="Times New Roman" w:hAnsi="Times New Roman"/>
          <w:sz w:val="28"/>
          <w:szCs w:val="28"/>
        </w:rPr>
      </w:pPr>
      <w:r w:rsidRPr="00FD6227">
        <w:rPr>
          <w:rFonts w:ascii="Times New Roman" w:hAnsi="Times New Roman"/>
          <w:sz w:val="28"/>
          <w:szCs w:val="28"/>
        </w:rPr>
        <w:t>Panacea Biotec Pharma Ltd.,</w:t>
      </w:r>
    </w:p>
    <w:p w14:paraId="438B9A1B" w14:textId="77777777" w:rsidR="00A05960" w:rsidRPr="00FD6227" w:rsidRDefault="00A05960" w:rsidP="00A05960">
      <w:pPr>
        <w:pStyle w:val="21"/>
        <w:spacing w:after="0" w:line="240" w:lineRule="auto"/>
        <w:jc w:val="both"/>
        <w:rPr>
          <w:rFonts w:ascii="Times New Roman" w:hAnsi="Times New Roman"/>
          <w:sz w:val="28"/>
          <w:szCs w:val="28"/>
          <w:lang w:val="en-US"/>
        </w:rPr>
      </w:pPr>
      <w:r w:rsidRPr="00FD6227">
        <w:rPr>
          <w:rFonts w:ascii="Times New Roman" w:hAnsi="Times New Roman"/>
          <w:sz w:val="28"/>
          <w:szCs w:val="28"/>
          <w:lang w:val="en-US"/>
        </w:rPr>
        <w:t xml:space="preserve">Malpur, Baddi, Distt. Solan, H.P. – 173205, </w:t>
      </w:r>
      <w:r w:rsidRPr="00FD6227">
        <w:rPr>
          <w:rFonts w:ascii="Times New Roman" w:hAnsi="Times New Roman"/>
          <w:sz w:val="28"/>
          <w:szCs w:val="28"/>
        </w:rPr>
        <w:t>Индия</w:t>
      </w:r>
      <w:r w:rsidRPr="00FD6227">
        <w:rPr>
          <w:rFonts w:ascii="Times New Roman" w:hAnsi="Times New Roman"/>
          <w:sz w:val="28"/>
          <w:szCs w:val="28"/>
          <w:lang w:val="en-US"/>
        </w:rPr>
        <w:t>.</w:t>
      </w:r>
    </w:p>
    <w:p w14:paraId="5DA3C97C" w14:textId="77777777" w:rsidR="00A05960" w:rsidRPr="00FD6227" w:rsidRDefault="00A05960" w:rsidP="00A05960">
      <w:pPr>
        <w:pStyle w:val="21"/>
        <w:spacing w:after="0" w:line="240" w:lineRule="auto"/>
        <w:jc w:val="both"/>
        <w:rPr>
          <w:rFonts w:ascii="Times New Roman" w:hAnsi="Times New Roman"/>
          <w:sz w:val="28"/>
          <w:szCs w:val="28"/>
        </w:rPr>
      </w:pPr>
      <w:r w:rsidRPr="00FD6227">
        <w:rPr>
          <w:rFonts w:ascii="Times New Roman" w:hAnsi="Times New Roman"/>
          <w:sz w:val="28"/>
          <w:szCs w:val="28"/>
        </w:rPr>
        <w:t>Тел.+91-1795-304000</w:t>
      </w:r>
    </w:p>
    <w:p w14:paraId="6F75856B" w14:textId="77777777" w:rsidR="00A05960" w:rsidRPr="00FD6227" w:rsidRDefault="00A05960" w:rsidP="00A05960">
      <w:pPr>
        <w:pStyle w:val="21"/>
        <w:spacing w:after="0" w:line="240" w:lineRule="auto"/>
        <w:jc w:val="both"/>
        <w:rPr>
          <w:rFonts w:ascii="Times New Roman" w:hAnsi="Times New Roman"/>
          <w:sz w:val="28"/>
          <w:szCs w:val="28"/>
        </w:rPr>
      </w:pPr>
      <w:r w:rsidRPr="00FD6227">
        <w:rPr>
          <w:rFonts w:ascii="Times New Roman" w:hAnsi="Times New Roman"/>
          <w:sz w:val="28"/>
          <w:szCs w:val="28"/>
        </w:rPr>
        <w:t>Факс. +91-1795-246834</w:t>
      </w:r>
    </w:p>
    <w:p w14:paraId="0A8C3EE1" w14:textId="77777777" w:rsidR="00A05960" w:rsidRPr="00FD6227" w:rsidRDefault="00A05960" w:rsidP="00A05960">
      <w:pPr>
        <w:pStyle w:val="21"/>
        <w:spacing w:after="0" w:line="240" w:lineRule="auto"/>
        <w:jc w:val="both"/>
        <w:rPr>
          <w:rFonts w:ascii="Times New Roman" w:hAnsi="Times New Roman"/>
          <w:sz w:val="28"/>
          <w:szCs w:val="28"/>
        </w:rPr>
      </w:pPr>
      <w:r w:rsidRPr="00FD6227">
        <w:rPr>
          <w:rFonts w:ascii="Times New Roman" w:hAnsi="Times New Roman"/>
          <w:sz w:val="28"/>
          <w:szCs w:val="28"/>
        </w:rPr>
        <w:t xml:space="preserve">Адрес электронной почты: </w:t>
      </w:r>
      <w:hyperlink r:id="rId10" w:history="1">
        <w:r w:rsidRPr="00FD6227">
          <w:rPr>
            <w:rStyle w:val="af"/>
            <w:rFonts w:ascii="Times New Roman" w:hAnsi="Times New Roman"/>
            <w:color w:val="auto"/>
            <w:sz w:val="28"/>
            <w:szCs w:val="28"/>
            <w:u w:val="none"/>
          </w:rPr>
          <w:t>pharma@panaceabiotec.com</w:t>
        </w:r>
      </w:hyperlink>
    </w:p>
    <w:p w14:paraId="4154EB85" w14:textId="77777777" w:rsidR="00A05960" w:rsidRPr="00CE38CA" w:rsidRDefault="00A05960" w:rsidP="00A05960">
      <w:pPr>
        <w:autoSpaceDE w:val="0"/>
        <w:autoSpaceDN w:val="0"/>
        <w:spacing w:after="0" w:line="240" w:lineRule="auto"/>
        <w:jc w:val="both"/>
        <w:rPr>
          <w:rFonts w:ascii="Times New Roman" w:hAnsi="Times New Roman"/>
          <w:color w:val="000000"/>
          <w:sz w:val="28"/>
          <w:szCs w:val="28"/>
        </w:rPr>
      </w:pPr>
      <w:r w:rsidRPr="00CE38CA">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принимающей претензии (предложения)  по качеству лекарственных  средств  от потребителей </w:t>
      </w:r>
    </w:p>
    <w:p w14:paraId="71DC267A" w14:textId="77777777" w:rsidR="00A05960" w:rsidRPr="00CE38CA" w:rsidRDefault="00A05960" w:rsidP="00A05960">
      <w:pPr>
        <w:spacing w:after="0" w:line="240" w:lineRule="auto"/>
        <w:jc w:val="both"/>
        <w:rPr>
          <w:rFonts w:ascii="Times New Roman" w:hAnsi="Times New Roman"/>
          <w:bCs/>
          <w:iCs/>
          <w:sz w:val="28"/>
          <w:szCs w:val="28"/>
          <w:lang w:val="kk-KZ"/>
        </w:rPr>
      </w:pPr>
      <w:r w:rsidRPr="00CE38CA">
        <w:rPr>
          <w:rFonts w:ascii="Times New Roman" w:hAnsi="Times New Roman"/>
          <w:bCs/>
          <w:iCs/>
          <w:sz w:val="28"/>
          <w:szCs w:val="28"/>
          <w:lang w:val="kk-KZ"/>
        </w:rPr>
        <w:t>ТОО «Rogers Pharma», Казахстан, 050043, г. Алматы, мкн. Мирас, д. 157, блок 2, н.п. 819.</w:t>
      </w:r>
    </w:p>
    <w:p w14:paraId="25BD1C5E" w14:textId="77777777" w:rsidR="00A05960" w:rsidRPr="00FD6227" w:rsidRDefault="00A05960" w:rsidP="00A05960">
      <w:pPr>
        <w:spacing w:after="0" w:line="240" w:lineRule="auto"/>
        <w:jc w:val="both"/>
        <w:rPr>
          <w:rFonts w:ascii="Times New Roman" w:hAnsi="Times New Roman"/>
          <w:bCs/>
          <w:iCs/>
          <w:sz w:val="28"/>
          <w:szCs w:val="28"/>
          <w:lang w:val="kk-KZ"/>
        </w:rPr>
      </w:pPr>
      <w:r w:rsidRPr="00CE38CA">
        <w:rPr>
          <w:rFonts w:ascii="Times New Roman" w:hAnsi="Times New Roman"/>
          <w:bCs/>
          <w:iCs/>
          <w:sz w:val="28"/>
          <w:szCs w:val="28"/>
          <w:lang w:val="kk-KZ"/>
        </w:rPr>
        <w:t>Тел. (727) 311-81-96/97, e-mail: office.secretary@rogersgroup.in</w:t>
      </w:r>
    </w:p>
    <w:p w14:paraId="62F61A56" w14:textId="77777777" w:rsidR="00A05960" w:rsidRPr="00CE38CA" w:rsidRDefault="00A05960" w:rsidP="00A05960">
      <w:pPr>
        <w:spacing w:after="0" w:line="240" w:lineRule="auto"/>
        <w:jc w:val="both"/>
        <w:rPr>
          <w:rFonts w:ascii="Times New Roman" w:hAnsi="Times New Roman"/>
          <w:b/>
          <w:iCs/>
          <w:sz w:val="28"/>
          <w:szCs w:val="28"/>
          <w:lang w:val="kk-KZ"/>
        </w:rPr>
      </w:pPr>
      <w:r w:rsidRPr="00CE38CA">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на территории Республики Казахстан, ответственной за пострегистрационное наблюдение за безопасностью лекарственного средства </w:t>
      </w:r>
    </w:p>
    <w:p w14:paraId="165D4D6E" w14:textId="77777777" w:rsidR="00A05960" w:rsidRPr="00CE38CA" w:rsidRDefault="00A05960" w:rsidP="00A05960">
      <w:pPr>
        <w:spacing w:after="0" w:line="240" w:lineRule="auto"/>
        <w:jc w:val="both"/>
        <w:rPr>
          <w:rFonts w:ascii="Times New Roman" w:hAnsi="Times New Roman"/>
          <w:bCs/>
          <w:iCs/>
          <w:sz w:val="28"/>
          <w:szCs w:val="28"/>
          <w:lang w:val="kk-KZ"/>
        </w:rPr>
      </w:pPr>
      <w:r w:rsidRPr="00CE38CA">
        <w:rPr>
          <w:rFonts w:ascii="Times New Roman" w:hAnsi="Times New Roman"/>
          <w:bCs/>
          <w:iCs/>
          <w:sz w:val="28"/>
          <w:szCs w:val="28"/>
          <w:lang w:val="kk-KZ"/>
        </w:rPr>
        <w:t>Канумуру И.Г., Казахстан, 050043, г. Алматы, мкн. Мирас, д. 157, н.п. 819.</w:t>
      </w:r>
    </w:p>
    <w:p w14:paraId="147035ED" w14:textId="77777777" w:rsidR="00A05960" w:rsidRPr="00CE38CA" w:rsidRDefault="00A05960" w:rsidP="00A05960">
      <w:pPr>
        <w:spacing w:after="0" w:line="240" w:lineRule="auto"/>
        <w:jc w:val="both"/>
        <w:rPr>
          <w:rFonts w:ascii="Times New Roman" w:hAnsi="Times New Roman"/>
          <w:bCs/>
          <w:color w:val="000000"/>
          <w:sz w:val="28"/>
          <w:szCs w:val="28"/>
          <w:lang w:val="uk-UA"/>
        </w:rPr>
      </w:pPr>
      <w:r w:rsidRPr="00CE38CA">
        <w:rPr>
          <w:rFonts w:ascii="Times New Roman" w:hAnsi="Times New Roman"/>
          <w:bCs/>
          <w:iCs/>
          <w:sz w:val="28"/>
          <w:szCs w:val="28"/>
          <w:lang w:val="kk-KZ"/>
        </w:rPr>
        <w:t>Тел. (727) 311-81-96/97,</w:t>
      </w:r>
      <w:r w:rsidR="00FD6227">
        <w:rPr>
          <w:rFonts w:ascii="Times New Roman" w:hAnsi="Times New Roman"/>
          <w:bCs/>
          <w:iCs/>
          <w:sz w:val="28"/>
          <w:szCs w:val="28"/>
          <w:lang w:val="kk-KZ"/>
        </w:rPr>
        <w:t xml:space="preserve"> +77479911904,</w:t>
      </w:r>
      <w:r w:rsidRPr="00CE38CA">
        <w:rPr>
          <w:rFonts w:ascii="Times New Roman" w:hAnsi="Times New Roman"/>
          <w:bCs/>
          <w:iCs/>
          <w:sz w:val="28"/>
          <w:szCs w:val="28"/>
          <w:lang w:val="kk-KZ"/>
        </w:rPr>
        <w:t xml:space="preserve"> e-mail: irina.volovnikova@gmail.com</w:t>
      </w:r>
    </w:p>
    <w:p w14:paraId="2FD18B15" w14:textId="5F18C14A" w:rsidR="00266D87" w:rsidRDefault="00266D87"/>
    <w:sectPr w:rsidR="00266D87"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2901" w14:textId="77777777" w:rsidR="002F45EE" w:rsidRDefault="002F45EE" w:rsidP="00D275FC">
      <w:pPr>
        <w:spacing w:after="0" w:line="240" w:lineRule="auto"/>
      </w:pPr>
      <w:r>
        <w:separator/>
      </w:r>
    </w:p>
  </w:endnote>
  <w:endnote w:type="continuationSeparator" w:id="0">
    <w:p w14:paraId="0196DE54" w14:textId="77777777" w:rsidR="002F45EE" w:rsidRDefault="002F45EE"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71DF" w14:textId="77777777" w:rsidR="009D472B" w:rsidRDefault="002F45EE"/>
  <w:p w14:paraId="1EB33861" w14:textId="77777777" w:rsidR="00266D87" w:rsidRDefault="006022D5">
    <w:r>
      <w:rPr>
        <w:rFonts w:ascii="Times New Roman" w:eastAsia="Times New Roman" w:hAnsi="Times New Roman"/>
      </w:rPr>
      <w:t>Решение: N049110</w:t>
    </w:r>
    <w:r>
      <w:rPr>
        <w:rFonts w:ascii="Times New Roman" w:eastAsia="Times New Roman" w:hAnsi="Times New Roman"/>
      </w:rPr>
      <w:br/>
      <w:t>Дата решения: 02.03.2022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(Комитет контроля качества и безопасности товаров и услуг)</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2037" w14:textId="77777777" w:rsidR="009D472B" w:rsidRDefault="002F45EE"/>
  <w:p w14:paraId="54F39FEB" w14:textId="503D6A02" w:rsidR="00266D87" w:rsidRDefault="00266D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5F7A2" w14:textId="77777777" w:rsidR="009D472B" w:rsidRDefault="002F45EE"/>
  <w:p w14:paraId="2489F205" w14:textId="77777777" w:rsidR="00266D87" w:rsidRDefault="006022D5">
    <w:r>
      <w:rPr>
        <w:rFonts w:ascii="Times New Roman" w:eastAsia="Times New Roman" w:hAnsi="Times New Roman"/>
      </w:rPr>
      <w:t>Решение: N049110</w:t>
    </w:r>
    <w:r>
      <w:rPr>
        <w:rFonts w:ascii="Times New Roman" w:eastAsia="Times New Roman" w:hAnsi="Times New Roman"/>
      </w:rPr>
      <w:br/>
      <w:t>Дата решения: 02.03.2022</w:t>
    </w:r>
    <w:r>
      <w:rPr>
        <w:rFonts w:ascii="Times New Roman" w:eastAsia="Times New Roman" w:hAnsi="Times New Roman"/>
      </w:rPr>
      <w:br/>
      <w:t>Фамилия, имя, отчество (при его наличии) руководителя государственного органа (или уполномоченное лицо): Байсеркин Б. С.</w:t>
    </w:r>
    <w:r>
      <w:rPr>
        <w:rFonts w:ascii="Times New Roman" w:eastAsia="Times New Roman" w:hAnsi="Times New Roman"/>
      </w:rPr>
      <w:br/>
      <w:t>(Комитет контроля качества и безопасности товаров и услуг)</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94B80" w14:textId="77777777" w:rsidR="002F45EE" w:rsidRDefault="002F45EE" w:rsidP="00D275FC">
      <w:pPr>
        <w:spacing w:after="0" w:line="240" w:lineRule="auto"/>
      </w:pPr>
      <w:r>
        <w:separator/>
      </w:r>
    </w:p>
  </w:footnote>
  <w:footnote w:type="continuationSeparator" w:id="0">
    <w:p w14:paraId="77CCBE47" w14:textId="77777777" w:rsidR="002F45EE" w:rsidRDefault="002F45EE"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1615" w14:textId="77777777" w:rsidR="00D275FC" w:rsidRDefault="001D71C8">
    <w:pPr>
      <w:pStyle w:val="af1"/>
    </w:pPr>
    <w:r>
      <w:rPr>
        <w:noProof/>
        <w:lang w:eastAsia="ru-RU"/>
      </w:rPr>
      <mc:AlternateContent>
        <mc:Choice Requires="wps">
          <w:drawing>
            <wp:anchor distT="0" distB="0" distL="114300" distR="114300" simplePos="0" relativeHeight="251657728" behindDoc="0" locked="0" layoutInCell="1" allowOverlap="1" wp14:anchorId="76392A7B" wp14:editId="0A1F952B">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8AA360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6392A7B"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78AA360F"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2A01"/>
    <w:rsid w:val="0002070A"/>
    <w:rsid w:val="000264BB"/>
    <w:rsid w:val="00033FC1"/>
    <w:rsid w:val="00034159"/>
    <w:rsid w:val="00042999"/>
    <w:rsid w:val="000852A1"/>
    <w:rsid w:val="000972E6"/>
    <w:rsid w:val="000A0D71"/>
    <w:rsid w:val="000C0511"/>
    <w:rsid w:val="000C2C4B"/>
    <w:rsid w:val="000C4C48"/>
    <w:rsid w:val="000C5636"/>
    <w:rsid w:val="000E01AB"/>
    <w:rsid w:val="000E2683"/>
    <w:rsid w:val="000E49F0"/>
    <w:rsid w:val="000E6126"/>
    <w:rsid w:val="00100406"/>
    <w:rsid w:val="00107A8A"/>
    <w:rsid w:val="00111788"/>
    <w:rsid w:val="00132B9A"/>
    <w:rsid w:val="001368AE"/>
    <w:rsid w:val="00144CCD"/>
    <w:rsid w:val="0014739A"/>
    <w:rsid w:val="0015490C"/>
    <w:rsid w:val="001573E2"/>
    <w:rsid w:val="0016278D"/>
    <w:rsid w:val="00183C41"/>
    <w:rsid w:val="001937AD"/>
    <w:rsid w:val="001A2CB2"/>
    <w:rsid w:val="001A5CCF"/>
    <w:rsid w:val="001B69E8"/>
    <w:rsid w:val="001B6AEC"/>
    <w:rsid w:val="001C0D40"/>
    <w:rsid w:val="001D71C8"/>
    <w:rsid w:val="001E4A3F"/>
    <w:rsid w:val="001E6F4C"/>
    <w:rsid w:val="001F16AA"/>
    <w:rsid w:val="00203355"/>
    <w:rsid w:val="00211005"/>
    <w:rsid w:val="00217D41"/>
    <w:rsid w:val="00222CA6"/>
    <w:rsid w:val="00232642"/>
    <w:rsid w:val="00237697"/>
    <w:rsid w:val="00245D03"/>
    <w:rsid w:val="00250EDB"/>
    <w:rsid w:val="00256E10"/>
    <w:rsid w:val="00260413"/>
    <w:rsid w:val="00260EBC"/>
    <w:rsid w:val="00264710"/>
    <w:rsid w:val="00265C04"/>
    <w:rsid w:val="00266D87"/>
    <w:rsid w:val="00267567"/>
    <w:rsid w:val="00270B0A"/>
    <w:rsid w:val="00281FBE"/>
    <w:rsid w:val="00290D2E"/>
    <w:rsid w:val="00292715"/>
    <w:rsid w:val="002A591C"/>
    <w:rsid w:val="002B3270"/>
    <w:rsid w:val="002C10E1"/>
    <w:rsid w:val="002C15EB"/>
    <w:rsid w:val="002C1660"/>
    <w:rsid w:val="002C35A2"/>
    <w:rsid w:val="002C5345"/>
    <w:rsid w:val="002C68BE"/>
    <w:rsid w:val="002C76D7"/>
    <w:rsid w:val="002D08BE"/>
    <w:rsid w:val="002D56B7"/>
    <w:rsid w:val="002E0BAD"/>
    <w:rsid w:val="002E19C0"/>
    <w:rsid w:val="002E53D7"/>
    <w:rsid w:val="002F01E7"/>
    <w:rsid w:val="002F45EE"/>
    <w:rsid w:val="002F4A14"/>
    <w:rsid w:val="00302607"/>
    <w:rsid w:val="003043BF"/>
    <w:rsid w:val="00320073"/>
    <w:rsid w:val="003262DF"/>
    <w:rsid w:val="00332536"/>
    <w:rsid w:val="003356B2"/>
    <w:rsid w:val="0036288F"/>
    <w:rsid w:val="00365145"/>
    <w:rsid w:val="00365B10"/>
    <w:rsid w:val="003662F1"/>
    <w:rsid w:val="00367BA7"/>
    <w:rsid w:val="00370CA3"/>
    <w:rsid w:val="003761C0"/>
    <w:rsid w:val="003812B2"/>
    <w:rsid w:val="00383CDB"/>
    <w:rsid w:val="00384F08"/>
    <w:rsid w:val="003879F9"/>
    <w:rsid w:val="003A035E"/>
    <w:rsid w:val="003B0285"/>
    <w:rsid w:val="003E13CF"/>
    <w:rsid w:val="003F5344"/>
    <w:rsid w:val="003F7EDC"/>
    <w:rsid w:val="00404548"/>
    <w:rsid w:val="0041162E"/>
    <w:rsid w:val="0042786D"/>
    <w:rsid w:val="00433C62"/>
    <w:rsid w:val="00434D01"/>
    <w:rsid w:val="00472EF5"/>
    <w:rsid w:val="00481F21"/>
    <w:rsid w:val="0048687C"/>
    <w:rsid w:val="00486950"/>
    <w:rsid w:val="0049400D"/>
    <w:rsid w:val="004A31B4"/>
    <w:rsid w:val="004A6C8F"/>
    <w:rsid w:val="004B1608"/>
    <w:rsid w:val="004B17DD"/>
    <w:rsid w:val="004C1922"/>
    <w:rsid w:val="004C462F"/>
    <w:rsid w:val="004D49E9"/>
    <w:rsid w:val="005071DA"/>
    <w:rsid w:val="00512C02"/>
    <w:rsid w:val="00523D82"/>
    <w:rsid w:val="00541A00"/>
    <w:rsid w:val="005444B2"/>
    <w:rsid w:val="00552F8B"/>
    <w:rsid w:val="00553691"/>
    <w:rsid w:val="005546DF"/>
    <w:rsid w:val="00561FE7"/>
    <w:rsid w:val="005734F2"/>
    <w:rsid w:val="00575348"/>
    <w:rsid w:val="005779DE"/>
    <w:rsid w:val="005869C5"/>
    <w:rsid w:val="005A3C81"/>
    <w:rsid w:val="005A5680"/>
    <w:rsid w:val="005A6639"/>
    <w:rsid w:val="005A6914"/>
    <w:rsid w:val="005B238A"/>
    <w:rsid w:val="005B3FFE"/>
    <w:rsid w:val="005C1519"/>
    <w:rsid w:val="005C1C4E"/>
    <w:rsid w:val="005C4A16"/>
    <w:rsid w:val="005C4B12"/>
    <w:rsid w:val="005D68C6"/>
    <w:rsid w:val="005D7EE3"/>
    <w:rsid w:val="005E50DE"/>
    <w:rsid w:val="005F7097"/>
    <w:rsid w:val="006022D5"/>
    <w:rsid w:val="0060364A"/>
    <w:rsid w:val="0061650D"/>
    <w:rsid w:val="00617843"/>
    <w:rsid w:val="00620F34"/>
    <w:rsid w:val="00624C1B"/>
    <w:rsid w:val="00625471"/>
    <w:rsid w:val="00627853"/>
    <w:rsid w:val="00634D0C"/>
    <w:rsid w:val="00652BCE"/>
    <w:rsid w:val="00652E29"/>
    <w:rsid w:val="00653617"/>
    <w:rsid w:val="006661C8"/>
    <w:rsid w:val="006703A5"/>
    <w:rsid w:val="0067136B"/>
    <w:rsid w:val="00672006"/>
    <w:rsid w:val="00673B03"/>
    <w:rsid w:val="00691208"/>
    <w:rsid w:val="00693014"/>
    <w:rsid w:val="006A05C7"/>
    <w:rsid w:val="006A23C4"/>
    <w:rsid w:val="006A6AEC"/>
    <w:rsid w:val="006A702E"/>
    <w:rsid w:val="006B0A61"/>
    <w:rsid w:val="006B7A90"/>
    <w:rsid w:val="006C577B"/>
    <w:rsid w:val="006C5F38"/>
    <w:rsid w:val="006C6558"/>
    <w:rsid w:val="006D7D5A"/>
    <w:rsid w:val="006E4305"/>
    <w:rsid w:val="006F0E27"/>
    <w:rsid w:val="006F5763"/>
    <w:rsid w:val="00704BAB"/>
    <w:rsid w:val="007104D1"/>
    <w:rsid w:val="00710D0B"/>
    <w:rsid w:val="007135A6"/>
    <w:rsid w:val="00732F32"/>
    <w:rsid w:val="00733A73"/>
    <w:rsid w:val="00736B6C"/>
    <w:rsid w:val="00743B07"/>
    <w:rsid w:val="00745CFF"/>
    <w:rsid w:val="00746FF2"/>
    <w:rsid w:val="00761133"/>
    <w:rsid w:val="00764E84"/>
    <w:rsid w:val="007762F8"/>
    <w:rsid w:val="00781A95"/>
    <w:rsid w:val="00783520"/>
    <w:rsid w:val="007A02D3"/>
    <w:rsid w:val="007A18B1"/>
    <w:rsid w:val="007C055A"/>
    <w:rsid w:val="007C1693"/>
    <w:rsid w:val="007C3782"/>
    <w:rsid w:val="007D0E84"/>
    <w:rsid w:val="007D681B"/>
    <w:rsid w:val="007D787C"/>
    <w:rsid w:val="007E1A7B"/>
    <w:rsid w:val="007E1D85"/>
    <w:rsid w:val="007E2056"/>
    <w:rsid w:val="007E5B48"/>
    <w:rsid w:val="007E702A"/>
    <w:rsid w:val="0080770D"/>
    <w:rsid w:val="0081154A"/>
    <w:rsid w:val="00820B36"/>
    <w:rsid w:val="008250FA"/>
    <w:rsid w:val="00827BB2"/>
    <w:rsid w:val="008329DA"/>
    <w:rsid w:val="008330E7"/>
    <w:rsid w:val="008353A4"/>
    <w:rsid w:val="008372C6"/>
    <w:rsid w:val="00844CE8"/>
    <w:rsid w:val="00847154"/>
    <w:rsid w:val="008472EF"/>
    <w:rsid w:val="0086657B"/>
    <w:rsid w:val="00867B1C"/>
    <w:rsid w:val="00882C4E"/>
    <w:rsid w:val="008832E5"/>
    <w:rsid w:val="00891711"/>
    <w:rsid w:val="00897669"/>
    <w:rsid w:val="008A3634"/>
    <w:rsid w:val="008C0181"/>
    <w:rsid w:val="008C2B48"/>
    <w:rsid w:val="008C51F5"/>
    <w:rsid w:val="008D4451"/>
    <w:rsid w:val="008D62B7"/>
    <w:rsid w:val="008E6895"/>
    <w:rsid w:val="00900B3C"/>
    <w:rsid w:val="00904FB5"/>
    <w:rsid w:val="0091136C"/>
    <w:rsid w:val="00913C79"/>
    <w:rsid w:val="009157ED"/>
    <w:rsid w:val="00930D7D"/>
    <w:rsid w:val="00941772"/>
    <w:rsid w:val="009478D4"/>
    <w:rsid w:val="0095047E"/>
    <w:rsid w:val="00956101"/>
    <w:rsid w:val="00962CD6"/>
    <w:rsid w:val="00993A60"/>
    <w:rsid w:val="00996F90"/>
    <w:rsid w:val="00997D8C"/>
    <w:rsid w:val="009B014E"/>
    <w:rsid w:val="009B1768"/>
    <w:rsid w:val="009D71D5"/>
    <w:rsid w:val="009E2887"/>
    <w:rsid w:val="009E5CB9"/>
    <w:rsid w:val="009F31F2"/>
    <w:rsid w:val="009F45A5"/>
    <w:rsid w:val="00A01C2E"/>
    <w:rsid w:val="00A02BB2"/>
    <w:rsid w:val="00A04052"/>
    <w:rsid w:val="00A05960"/>
    <w:rsid w:val="00A12563"/>
    <w:rsid w:val="00A3180E"/>
    <w:rsid w:val="00A62CF6"/>
    <w:rsid w:val="00A77C3F"/>
    <w:rsid w:val="00A8185B"/>
    <w:rsid w:val="00A940F0"/>
    <w:rsid w:val="00AA5E2F"/>
    <w:rsid w:val="00AA7317"/>
    <w:rsid w:val="00AC2C0B"/>
    <w:rsid w:val="00AC4905"/>
    <w:rsid w:val="00AE7922"/>
    <w:rsid w:val="00AF2AB7"/>
    <w:rsid w:val="00B01011"/>
    <w:rsid w:val="00B03635"/>
    <w:rsid w:val="00B11878"/>
    <w:rsid w:val="00B46F30"/>
    <w:rsid w:val="00B54829"/>
    <w:rsid w:val="00B608C1"/>
    <w:rsid w:val="00B60D3D"/>
    <w:rsid w:val="00B61D95"/>
    <w:rsid w:val="00B81785"/>
    <w:rsid w:val="00B9187F"/>
    <w:rsid w:val="00BB3050"/>
    <w:rsid w:val="00BB6AF8"/>
    <w:rsid w:val="00BB7831"/>
    <w:rsid w:val="00BC31BC"/>
    <w:rsid w:val="00BC6167"/>
    <w:rsid w:val="00BE4435"/>
    <w:rsid w:val="00BE6B71"/>
    <w:rsid w:val="00C07BB3"/>
    <w:rsid w:val="00C13F62"/>
    <w:rsid w:val="00C2000E"/>
    <w:rsid w:val="00C379C9"/>
    <w:rsid w:val="00C422B8"/>
    <w:rsid w:val="00C566D6"/>
    <w:rsid w:val="00C61C48"/>
    <w:rsid w:val="00C839ED"/>
    <w:rsid w:val="00C84299"/>
    <w:rsid w:val="00C92F14"/>
    <w:rsid w:val="00C9308C"/>
    <w:rsid w:val="00C97365"/>
    <w:rsid w:val="00CC08BA"/>
    <w:rsid w:val="00CC330A"/>
    <w:rsid w:val="00CC442F"/>
    <w:rsid w:val="00CC5727"/>
    <w:rsid w:val="00CC7DBD"/>
    <w:rsid w:val="00CE38C0"/>
    <w:rsid w:val="00CE38CA"/>
    <w:rsid w:val="00CF3849"/>
    <w:rsid w:val="00D0233C"/>
    <w:rsid w:val="00D066FC"/>
    <w:rsid w:val="00D11462"/>
    <w:rsid w:val="00D14D61"/>
    <w:rsid w:val="00D22A47"/>
    <w:rsid w:val="00D275FC"/>
    <w:rsid w:val="00D3576E"/>
    <w:rsid w:val="00D43297"/>
    <w:rsid w:val="00D451C5"/>
    <w:rsid w:val="00D46B0B"/>
    <w:rsid w:val="00D55ED8"/>
    <w:rsid w:val="00D70DB6"/>
    <w:rsid w:val="00D76048"/>
    <w:rsid w:val="00D936C5"/>
    <w:rsid w:val="00D93C80"/>
    <w:rsid w:val="00D96A8F"/>
    <w:rsid w:val="00DB406A"/>
    <w:rsid w:val="00DF11A7"/>
    <w:rsid w:val="00E0096A"/>
    <w:rsid w:val="00E03E8D"/>
    <w:rsid w:val="00E271CB"/>
    <w:rsid w:val="00E34FE3"/>
    <w:rsid w:val="00E3767A"/>
    <w:rsid w:val="00E55D6C"/>
    <w:rsid w:val="00E57396"/>
    <w:rsid w:val="00E81A1B"/>
    <w:rsid w:val="00E81A86"/>
    <w:rsid w:val="00E8607B"/>
    <w:rsid w:val="00E91073"/>
    <w:rsid w:val="00E93583"/>
    <w:rsid w:val="00EA2F86"/>
    <w:rsid w:val="00EA6D39"/>
    <w:rsid w:val="00EB1D97"/>
    <w:rsid w:val="00EB4C3A"/>
    <w:rsid w:val="00EF4C53"/>
    <w:rsid w:val="00F006F1"/>
    <w:rsid w:val="00F07B7B"/>
    <w:rsid w:val="00F15F7C"/>
    <w:rsid w:val="00F23B95"/>
    <w:rsid w:val="00F34474"/>
    <w:rsid w:val="00F34CA7"/>
    <w:rsid w:val="00F35213"/>
    <w:rsid w:val="00F40388"/>
    <w:rsid w:val="00F527DF"/>
    <w:rsid w:val="00F63389"/>
    <w:rsid w:val="00F64569"/>
    <w:rsid w:val="00F7374A"/>
    <w:rsid w:val="00F75856"/>
    <w:rsid w:val="00F8747E"/>
    <w:rsid w:val="00F91977"/>
    <w:rsid w:val="00F97B57"/>
    <w:rsid w:val="00FA4F7C"/>
    <w:rsid w:val="00FB0456"/>
    <w:rsid w:val="00FB47F4"/>
    <w:rsid w:val="00FC4EB0"/>
    <w:rsid w:val="00FD2B12"/>
    <w:rsid w:val="00FD2B9F"/>
    <w:rsid w:val="00FD6227"/>
    <w:rsid w:val="00FE566D"/>
    <w:rsid w:val="00FF0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78F25"/>
  <w15:docId w15:val="{B6026028-1CB8-4DBC-9713-76E799F2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14">
    <w:name w:val="Неразрешенное упоминание1"/>
    <w:uiPriority w:val="99"/>
    <w:semiHidden/>
    <w:unhideWhenUsed/>
    <w:rsid w:val="00A059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harma@panaceabiotec.com" TargetMode="External"/><Relationship Id="rId4" Type="http://schemas.openxmlformats.org/officeDocument/2006/relationships/settings" Target="settings.xml"/><Relationship Id="rId9" Type="http://schemas.openxmlformats.org/officeDocument/2006/relationships/hyperlink" Target="mailto:pharma@panaceabiotec.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534DE-874D-4D5F-A782-AC420472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2618</Words>
  <Characters>14925</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17508</CharactersWithSpaces>
  <SharedDoc>false</SharedDoc>
  <HLinks>
    <vt:vector size="18" baseType="variant">
      <vt:variant>
        <vt:i4>1179696</vt:i4>
      </vt:variant>
      <vt:variant>
        <vt:i4>6</vt:i4>
      </vt:variant>
      <vt:variant>
        <vt:i4>0</vt:i4>
      </vt:variant>
      <vt:variant>
        <vt:i4>5</vt:i4>
      </vt:variant>
      <vt:variant>
        <vt:lpwstr>mailto:pharma@panaceabiotec.com</vt:lpwstr>
      </vt:variant>
      <vt:variant>
        <vt:lpwstr/>
      </vt:variant>
      <vt:variant>
        <vt:i4>1179696</vt:i4>
      </vt:variant>
      <vt:variant>
        <vt:i4>3</vt:i4>
      </vt:variant>
      <vt:variant>
        <vt:i4>0</vt:i4>
      </vt:variant>
      <vt:variant>
        <vt:i4>5</vt:i4>
      </vt:variant>
      <vt:variant>
        <vt:lpwstr>mailto:pharma@panaceabiotec.com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6</cp:revision>
  <cp:lastPrinted>2018-03-22T06:08:00Z</cp:lastPrinted>
  <dcterms:created xsi:type="dcterms:W3CDTF">2022-01-31T06:45:00Z</dcterms:created>
  <dcterms:modified xsi:type="dcterms:W3CDTF">2022-03-05T11:04:00Z</dcterms:modified>
</cp:coreProperties>
</file>